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15F6B" w14:textId="33433756" w:rsidR="003F04AB" w:rsidRPr="00F129CB" w:rsidRDefault="006760AF" w:rsidP="00F129CB">
      <w:pPr>
        <w:spacing w:before="12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bookmarkStart w:id="0" w:name="OLE_LINK21"/>
      <w:r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T</w:t>
      </w:r>
      <w:r w:rsidR="003F04AB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he </w:t>
      </w:r>
      <w:r w:rsidR="00B41154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1</w:t>
      </w:r>
      <w:r w:rsidR="002947C2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4</w:t>
      </w:r>
      <w:r w:rsidR="00B27F74" w:rsidRPr="00F129CB">
        <w:rPr>
          <w:rFonts w:ascii="Times New Roman" w:hAnsi="Times New Roman" w:cs="Times New Roman"/>
          <w:i/>
          <w:iCs/>
          <w:spacing w:val="-4"/>
          <w:sz w:val="24"/>
          <w:szCs w:val="24"/>
          <w:vertAlign w:val="superscript"/>
        </w:rPr>
        <w:t xml:space="preserve">th </w:t>
      </w:r>
      <w:r w:rsidR="00802179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Session of the </w:t>
      </w:r>
      <w:r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OIC Statistical Commission (OIC-</w:t>
      </w:r>
      <w:proofErr w:type="spellStart"/>
      <w:r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StatCom</w:t>
      </w:r>
      <w:proofErr w:type="spellEnd"/>
      <w:r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), </w:t>
      </w:r>
      <w:r w:rsidR="002947C2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convened at SESRIC Headquarters in </w:t>
      </w:r>
      <w:r w:rsidR="004C04C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Ankara</w:t>
      </w:r>
      <w:r w:rsidR="00771CB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, </w:t>
      </w:r>
      <w:r w:rsidR="004C04C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Republic of </w:t>
      </w:r>
      <w:proofErr w:type="spellStart"/>
      <w:r w:rsidR="004C04C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Türkiye</w:t>
      </w:r>
      <w:proofErr w:type="spellEnd"/>
      <w:r w:rsidR="0049557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4C04C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="0049557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on </w:t>
      </w:r>
      <w:r w:rsidR="002947C2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1-3 Octo</w:t>
      </w:r>
      <w:bookmarkStart w:id="1" w:name="_GoBack"/>
      <w:bookmarkEnd w:id="1"/>
      <w:r w:rsidR="002947C2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ber 2025</w:t>
      </w:r>
      <w:r w:rsidR="004C04C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(</w:t>
      </w:r>
      <w:r w:rsidR="002947C2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9-11</w:t>
      </w:r>
      <w:r w:rsidR="004C04C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Rabi Al</w:t>
      </w:r>
      <w:r w:rsidR="0049557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-</w:t>
      </w:r>
      <w:proofErr w:type="spellStart"/>
      <w:r w:rsidR="002947C2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Thani</w:t>
      </w:r>
      <w:proofErr w:type="spellEnd"/>
      <w:r w:rsidR="002947C2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1447</w:t>
      </w:r>
      <w:r w:rsidR="004C04C6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H</w:t>
      </w:r>
      <w:r w:rsidR="003F04AB" w:rsidRPr="00F129CB">
        <w:rPr>
          <w:rFonts w:ascii="Times New Roman" w:hAnsi="Times New Roman" w:cs="Times New Roman"/>
          <w:i/>
          <w:iCs/>
          <w:spacing w:val="-4"/>
          <w:sz w:val="24"/>
          <w:szCs w:val="24"/>
        </w:rPr>
        <w:t>),</w:t>
      </w:r>
    </w:p>
    <w:p w14:paraId="4ECC02D3" w14:textId="02ACE561" w:rsidR="006760AF" w:rsidRDefault="006760AF" w:rsidP="00F129CB">
      <w:pPr>
        <w:spacing w:before="120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10AC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Expressing </w:t>
      </w:r>
      <w:r w:rsidR="00D576B9" w:rsidRPr="00710ACA">
        <w:rPr>
          <w:rFonts w:ascii="Times New Roman" w:hAnsi="Times New Roman" w:cs="Times New Roman"/>
          <w:b/>
          <w:iCs/>
          <w:sz w:val="24"/>
          <w:szCs w:val="24"/>
          <w:u w:val="single"/>
        </w:rPr>
        <w:t>appreciation</w:t>
      </w:r>
      <w:r w:rsidRPr="00710AC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to the Statistical, Economic and Social Research and Training Centre for Islamic Countries (SESRIC), as the Secretariat, and </w:t>
      </w:r>
      <w:r w:rsidR="002947C2">
        <w:rPr>
          <w:rFonts w:ascii="Times New Roman" w:hAnsi="Times New Roman" w:cs="Times New Roman"/>
          <w:bCs/>
          <w:iCs/>
          <w:sz w:val="24"/>
          <w:szCs w:val="24"/>
        </w:rPr>
        <w:t xml:space="preserve">to 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>the Islamic Development Bank (</w:t>
      </w:r>
      <w:proofErr w:type="spellStart"/>
      <w:r w:rsidRPr="00710ACA">
        <w:rPr>
          <w:rFonts w:ascii="Times New Roman" w:hAnsi="Times New Roman" w:cs="Times New Roman"/>
          <w:bCs/>
          <w:iCs/>
          <w:sz w:val="24"/>
          <w:szCs w:val="24"/>
        </w:rPr>
        <w:t>IsDB</w:t>
      </w:r>
      <w:proofErr w:type="spellEnd"/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), as the ex-officio </w:t>
      </w:r>
      <w:r w:rsidR="002947C2" w:rsidRPr="002947C2">
        <w:rPr>
          <w:rFonts w:ascii="Times New Roman" w:hAnsi="Times New Roman" w:cs="Times New Roman"/>
          <w:bCs/>
          <w:iCs/>
          <w:sz w:val="24"/>
          <w:szCs w:val="24"/>
        </w:rPr>
        <w:t>Bureau member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>, for the</w:t>
      </w:r>
      <w:r w:rsidR="007D4424" w:rsidRPr="00710ACA">
        <w:rPr>
          <w:rFonts w:ascii="Times New Roman" w:hAnsi="Times New Roman" w:cs="Times New Roman"/>
          <w:bCs/>
          <w:iCs/>
          <w:sz w:val="24"/>
          <w:szCs w:val="24"/>
        </w:rPr>
        <w:t>ir content development, logistical efforts</w:t>
      </w:r>
      <w:r w:rsidR="00EA121B"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="007D4424" w:rsidRPr="00710ACA">
        <w:rPr>
          <w:rFonts w:ascii="Times New Roman" w:hAnsi="Times New Roman" w:cs="Times New Roman"/>
          <w:bCs/>
          <w:iCs/>
          <w:sz w:val="24"/>
          <w:szCs w:val="24"/>
        </w:rPr>
        <w:t>financial support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 in co-organising the Session</w:t>
      </w:r>
      <w:r w:rsidR="008E36B4" w:rsidRPr="00710ACA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571B963" w14:textId="0949E98D" w:rsidR="00435DBD" w:rsidRPr="00710ACA" w:rsidRDefault="00E309FD" w:rsidP="00F129CB">
      <w:pPr>
        <w:spacing w:before="120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Also extending thanks and</w:t>
      </w:r>
      <w:r w:rsidRPr="00710AC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appreciation</w:t>
      </w:r>
      <w:r w:rsidRPr="00710AC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to the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Members of the </w:t>
      </w:r>
      <w:r w:rsidR="00435DBD">
        <w:rPr>
          <w:rFonts w:ascii="Times New Roman" w:hAnsi="Times New Roman" w:cs="Times New Roman"/>
          <w:bCs/>
          <w:iCs/>
          <w:sz w:val="24"/>
          <w:szCs w:val="24"/>
        </w:rPr>
        <w:t>Commission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 for their </w:t>
      </w:r>
      <w:r>
        <w:rPr>
          <w:rFonts w:ascii="Times New Roman" w:hAnsi="Times New Roman" w:cs="Times New Roman"/>
          <w:bCs/>
          <w:iCs/>
          <w:sz w:val="24"/>
          <w:szCs w:val="24"/>
        </w:rPr>
        <w:t>presence at the highest level and</w:t>
      </w:r>
      <w:r w:rsidR="00181949">
        <w:rPr>
          <w:rFonts w:ascii="Times New Roman" w:hAnsi="Times New Roman" w:cs="Times New Roman"/>
          <w:bCs/>
          <w:iCs/>
          <w:sz w:val="24"/>
          <w:szCs w:val="24"/>
        </w:rPr>
        <w:t xml:space="preserve"> the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81949">
        <w:rPr>
          <w:rFonts w:ascii="Times New Roman" w:hAnsi="Times New Roman" w:cs="Times New Roman"/>
          <w:bCs/>
          <w:iCs/>
          <w:sz w:val="24"/>
          <w:szCs w:val="24"/>
        </w:rPr>
        <w:t xml:space="preserve">comments and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contributions enriching the content and the discussions </w:t>
      </w:r>
      <w:r w:rsidR="00181949">
        <w:rPr>
          <w:rFonts w:ascii="Times New Roman" w:hAnsi="Times New Roman" w:cs="Times New Roman"/>
          <w:bCs/>
          <w:iCs/>
          <w:sz w:val="24"/>
          <w:szCs w:val="24"/>
        </w:rPr>
        <w:t>held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throughout the Session</w:t>
      </w:r>
      <w:proofErr w:type="gramStart"/>
      <w:r w:rsidR="00435DBD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  <w:r w:rsidR="00435D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19AC846" w14:textId="1E5FCA25" w:rsidR="00802179" w:rsidRPr="00710ACA" w:rsidRDefault="003F04AB" w:rsidP="00F129CB">
      <w:pPr>
        <w:spacing w:before="12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0ACA">
        <w:rPr>
          <w:rFonts w:ascii="Times New Roman" w:hAnsi="Times New Roman" w:cs="Times New Roman"/>
          <w:b/>
          <w:iCs/>
          <w:sz w:val="24"/>
          <w:szCs w:val="24"/>
          <w:u w:val="single"/>
        </w:rPr>
        <w:t>Recalling</w:t>
      </w:r>
      <w:r w:rsidRPr="00710A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2B57" w:rsidRPr="00710ACA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33466C" w:rsidRPr="00710ACA">
        <w:rPr>
          <w:rFonts w:ascii="Times New Roman" w:hAnsi="Times New Roman" w:cs="Times New Roman"/>
          <w:iCs/>
          <w:sz w:val="24"/>
          <w:szCs w:val="24"/>
        </w:rPr>
        <w:t>r</w:t>
      </w:r>
      <w:r w:rsidRPr="00710ACA">
        <w:rPr>
          <w:rFonts w:ascii="Times New Roman" w:hAnsi="Times New Roman" w:cs="Times New Roman"/>
          <w:iCs/>
          <w:sz w:val="24"/>
          <w:szCs w:val="24"/>
        </w:rPr>
        <w:t xml:space="preserve">esolution adopted </w:t>
      </w:r>
      <w:r w:rsidR="000152E0" w:rsidRPr="00710ACA">
        <w:rPr>
          <w:rFonts w:ascii="Times New Roman" w:hAnsi="Times New Roman" w:cs="Times New Roman"/>
          <w:iCs/>
          <w:sz w:val="24"/>
          <w:szCs w:val="24"/>
        </w:rPr>
        <w:t xml:space="preserve">by </w:t>
      </w:r>
      <w:r w:rsidRPr="00710ACA">
        <w:rPr>
          <w:rFonts w:ascii="Times New Roman" w:hAnsi="Times New Roman" w:cs="Times New Roman"/>
          <w:iCs/>
          <w:sz w:val="24"/>
          <w:szCs w:val="24"/>
        </w:rPr>
        <w:t>the</w:t>
      </w:r>
      <w:r w:rsidR="00802179" w:rsidRPr="00710A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04C6" w:rsidRPr="00710ACA">
        <w:rPr>
          <w:rFonts w:ascii="Times New Roman" w:hAnsi="Times New Roman" w:cs="Times New Roman"/>
          <w:iCs/>
          <w:sz w:val="24"/>
          <w:szCs w:val="24"/>
        </w:rPr>
        <w:t>1</w:t>
      </w:r>
      <w:r w:rsidR="002E3ABF">
        <w:rPr>
          <w:rFonts w:ascii="Times New Roman" w:hAnsi="Times New Roman" w:cs="Times New Roman"/>
          <w:iCs/>
          <w:sz w:val="24"/>
          <w:szCs w:val="24"/>
        </w:rPr>
        <w:t>3</w:t>
      </w:r>
      <w:r w:rsidR="004C04C6" w:rsidRPr="00710ACA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="004C04C6" w:rsidRPr="00710ACA">
        <w:rPr>
          <w:rFonts w:ascii="Times New Roman" w:hAnsi="Times New Roman" w:cs="Times New Roman"/>
          <w:iCs/>
          <w:sz w:val="24"/>
          <w:szCs w:val="24"/>
        </w:rPr>
        <w:t xml:space="preserve"> Session of the OIC-</w:t>
      </w:r>
      <w:proofErr w:type="spellStart"/>
      <w:r w:rsidR="004C04C6" w:rsidRPr="00710ACA">
        <w:rPr>
          <w:rFonts w:ascii="Times New Roman" w:hAnsi="Times New Roman" w:cs="Times New Roman"/>
          <w:iCs/>
          <w:sz w:val="24"/>
          <w:szCs w:val="24"/>
        </w:rPr>
        <w:t>StatCom</w:t>
      </w:r>
      <w:proofErr w:type="spellEnd"/>
      <w:r w:rsidR="004C04C6" w:rsidRPr="00710ACA">
        <w:rPr>
          <w:rFonts w:ascii="Times New Roman" w:hAnsi="Times New Roman" w:cs="Times New Roman"/>
          <w:iCs/>
          <w:sz w:val="24"/>
          <w:szCs w:val="24"/>
        </w:rPr>
        <w:t xml:space="preserve"> held </w:t>
      </w:r>
      <w:r w:rsidR="002947C2" w:rsidRPr="002947C2">
        <w:rPr>
          <w:rFonts w:ascii="Times New Roman" w:hAnsi="Times New Roman" w:cs="Times New Roman"/>
          <w:iCs/>
          <w:sz w:val="24"/>
          <w:szCs w:val="24"/>
        </w:rPr>
        <w:t>in Ankara on 15</w:t>
      </w:r>
      <w:r w:rsidR="002947C2">
        <w:rPr>
          <w:rFonts w:ascii="Times New Roman" w:hAnsi="Times New Roman" w:cs="Times New Roman"/>
          <w:iCs/>
          <w:sz w:val="24"/>
          <w:szCs w:val="24"/>
        </w:rPr>
        <w:t>-</w:t>
      </w:r>
      <w:r w:rsidR="002947C2" w:rsidRPr="002947C2">
        <w:rPr>
          <w:rFonts w:ascii="Times New Roman" w:hAnsi="Times New Roman" w:cs="Times New Roman"/>
          <w:iCs/>
          <w:sz w:val="24"/>
          <w:szCs w:val="24"/>
        </w:rPr>
        <w:t xml:space="preserve">16 October 2024 </w:t>
      </w:r>
      <w:r w:rsidR="004C04C6" w:rsidRPr="00710ACA">
        <w:rPr>
          <w:rFonts w:ascii="Times New Roman" w:hAnsi="Times New Roman" w:cs="Times New Roman"/>
          <w:iCs/>
          <w:sz w:val="24"/>
          <w:szCs w:val="24"/>
        </w:rPr>
        <w:t>(</w:t>
      </w:r>
      <w:r w:rsidR="002947C2" w:rsidRPr="002947C2">
        <w:rPr>
          <w:rFonts w:ascii="Times New Roman" w:hAnsi="Times New Roman" w:cs="Times New Roman"/>
          <w:sz w:val="24"/>
          <w:szCs w:val="24"/>
        </w:rPr>
        <w:t>12-13 Rabi Al-</w:t>
      </w:r>
      <w:proofErr w:type="spellStart"/>
      <w:r w:rsidR="002947C2" w:rsidRPr="002947C2">
        <w:rPr>
          <w:rFonts w:ascii="Times New Roman" w:hAnsi="Times New Roman" w:cs="Times New Roman"/>
          <w:sz w:val="24"/>
          <w:szCs w:val="24"/>
        </w:rPr>
        <w:t>Thani</w:t>
      </w:r>
      <w:proofErr w:type="spellEnd"/>
      <w:r w:rsidR="002947C2" w:rsidRPr="002947C2">
        <w:rPr>
          <w:rFonts w:ascii="Times New Roman" w:hAnsi="Times New Roman" w:cs="Times New Roman"/>
          <w:sz w:val="24"/>
          <w:szCs w:val="24"/>
        </w:rPr>
        <w:t xml:space="preserve"> 1446 H</w:t>
      </w:r>
      <w:r w:rsidR="004C04C6" w:rsidRPr="00710ACA">
        <w:rPr>
          <w:rFonts w:ascii="Times New Roman" w:hAnsi="Times New Roman" w:cs="Times New Roman"/>
          <w:iCs/>
          <w:sz w:val="24"/>
          <w:szCs w:val="24"/>
        </w:rPr>
        <w:t>)</w:t>
      </w:r>
      <w:r w:rsidR="0091689F" w:rsidRPr="00710ACA">
        <w:rPr>
          <w:rFonts w:ascii="Times New Roman" w:hAnsi="Times New Roman" w:cs="Times New Roman"/>
          <w:iCs/>
          <w:sz w:val="24"/>
          <w:szCs w:val="24"/>
        </w:rPr>
        <w:t>,</w:t>
      </w:r>
      <w:r w:rsidR="003331EE" w:rsidRPr="00710A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47C2" w:rsidRPr="002947C2">
        <w:rPr>
          <w:rFonts w:ascii="Times New Roman" w:hAnsi="Times New Roman" w:cs="Times New Roman"/>
          <w:iCs/>
          <w:sz w:val="24"/>
          <w:szCs w:val="24"/>
        </w:rPr>
        <w:t>as well as the resolutions adopted by the previous sessions of the OIC-</w:t>
      </w:r>
      <w:proofErr w:type="spellStart"/>
      <w:r w:rsidR="002947C2" w:rsidRPr="002947C2">
        <w:rPr>
          <w:rFonts w:ascii="Times New Roman" w:hAnsi="Times New Roman" w:cs="Times New Roman"/>
          <w:iCs/>
          <w:sz w:val="24"/>
          <w:szCs w:val="24"/>
        </w:rPr>
        <w:t>StatCom</w:t>
      </w:r>
      <w:proofErr w:type="spellEnd"/>
      <w:r w:rsidR="002947C2" w:rsidRPr="002947C2">
        <w:rPr>
          <w:rFonts w:ascii="Times New Roman" w:hAnsi="Times New Roman" w:cs="Times New Roman"/>
          <w:iCs/>
          <w:sz w:val="24"/>
          <w:szCs w:val="24"/>
        </w:rPr>
        <w:t xml:space="preserve"> and other relevant OIC fora pertinent to statistics;</w:t>
      </w:r>
    </w:p>
    <w:p w14:paraId="30C06CDE" w14:textId="76D7AF30" w:rsidR="0033466C" w:rsidRPr="00710ACA" w:rsidRDefault="0033466C" w:rsidP="00F129CB">
      <w:pPr>
        <w:spacing w:before="120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10AC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Also recalling</w:t>
      </w:r>
      <w:r w:rsidRPr="00710A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>the relevant international recommendations and decisions, in particular those which support the improvement of National Statistical Systems (NSSs), such as the resolutions of the fifty-</w:t>
      </w:r>
      <w:r w:rsidR="002947C2">
        <w:rPr>
          <w:rFonts w:ascii="Times New Roman" w:hAnsi="Times New Roman" w:cs="Times New Roman"/>
          <w:bCs/>
          <w:iCs/>
          <w:sz w:val="24"/>
          <w:szCs w:val="24"/>
        </w:rPr>
        <w:t xml:space="preserve">sixth 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session of the </w:t>
      </w:r>
      <w:r w:rsidR="00710ACA">
        <w:rPr>
          <w:rFonts w:ascii="Times New Roman" w:hAnsi="Times New Roman" w:cs="Times New Roman"/>
          <w:bCs/>
          <w:iCs/>
          <w:sz w:val="24"/>
          <w:szCs w:val="24"/>
        </w:rPr>
        <w:t>United Nations Statistical Commission (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>UNSC</w:t>
      </w:r>
      <w:r w:rsidR="00710ACA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, held in New York from </w:t>
      </w:r>
      <w:r w:rsidR="002947C2" w:rsidRPr="002947C2">
        <w:rPr>
          <w:rFonts w:ascii="Times New Roman" w:hAnsi="Times New Roman" w:cs="Times New Roman"/>
          <w:bCs/>
          <w:iCs/>
          <w:sz w:val="24"/>
          <w:szCs w:val="24"/>
        </w:rPr>
        <w:t>4 to 7 March 2025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22A18B0F" w14:textId="3113ADF9" w:rsidR="00385599" w:rsidRDefault="00B634EC" w:rsidP="00F129CB">
      <w:pPr>
        <w:spacing w:before="12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0ACA">
        <w:rPr>
          <w:rFonts w:ascii="Times New Roman" w:hAnsi="Times New Roman" w:cs="Times New Roman"/>
          <w:b/>
          <w:iCs/>
          <w:sz w:val="24"/>
          <w:szCs w:val="24"/>
          <w:u w:val="single"/>
        </w:rPr>
        <w:t>Taking note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E7C1B" w:rsidRPr="00710ACA">
        <w:rPr>
          <w:rFonts w:ascii="Times New Roman" w:hAnsi="Times New Roman" w:cs="Times New Roman"/>
          <w:bCs/>
          <w:iCs/>
          <w:sz w:val="24"/>
          <w:szCs w:val="24"/>
        </w:rPr>
        <w:t>of</w:t>
      </w:r>
      <w:r w:rsidR="00385599"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85599" w:rsidRPr="00710ACA">
        <w:rPr>
          <w:rFonts w:ascii="Times New Roman" w:hAnsi="Times New Roman" w:cs="Times New Roman"/>
          <w:iCs/>
          <w:sz w:val="24"/>
          <w:szCs w:val="24"/>
        </w:rPr>
        <w:t xml:space="preserve">the successful organisation of the </w:t>
      </w:r>
      <w:r w:rsidR="009434C3" w:rsidRPr="00710ACA">
        <w:rPr>
          <w:rFonts w:ascii="Times New Roman" w:hAnsi="Times New Roman" w:cs="Times New Roman"/>
          <w:iCs/>
          <w:sz w:val="24"/>
          <w:szCs w:val="24"/>
        </w:rPr>
        <w:t xml:space="preserve">Follow-up Meeting of </w:t>
      </w:r>
      <w:r w:rsidR="002947C2">
        <w:rPr>
          <w:rFonts w:ascii="Times New Roman" w:hAnsi="Times New Roman" w:cs="Times New Roman"/>
          <w:iCs/>
          <w:sz w:val="24"/>
          <w:szCs w:val="24"/>
        </w:rPr>
        <w:t>the 13</w:t>
      </w:r>
      <w:r w:rsidR="002947C2" w:rsidRPr="002947C2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="002947C2">
        <w:rPr>
          <w:rFonts w:ascii="Times New Roman" w:hAnsi="Times New Roman" w:cs="Times New Roman"/>
          <w:iCs/>
          <w:sz w:val="24"/>
          <w:szCs w:val="24"/>
        </w:rPr>
        <w:t xml:space="preserve"> Session of the </w:t>
      </w:r>
      <w:r w:rsidR="009434C3" w:rsidRPr="00710ACA">
        <w:rPr>
          <w:rFonts w:ascii="Times New Roman" w:hAnsi="Times New Roman" w:cs="Times New Roman"/>
          <w:iCs/>
          <w:sz w:val="24"/>
          <w:szCs w:val="24"/>
        </w:rPr>
        <w:t>OIC-</w:t>
      </w:r>
      <w:proofErr w:type="spellStart"/>
      <w:r w:rsidR="009434C3" w:rsidRPr="00710ACA">
        <w:rPr>
          <w:rFonts w:ascii="Times New Roman" w:hAnsi="Times New Roman" w:cs="Times New Roman"/>
          <w:iCs/>
          <w:sz w:val="24"/>
          <w:szCs w:val="24"/>
        </w:rPr>
        <w:t>StatCom</w:t>
      </w:r>
      <w:proofErr w:type="spellEnd"/>
      <w:r w:rsidR="009434C3" w:rsidRPr="00710A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3DA" w:rsidRPr="00710ACA">
        <w:rPr>
          <w:rFonts w:ascii="Times New Roman" w:hAnsi="Times New Roman" w:cs="Times New Roman"/>
          <w:iCs/>
          <w:sz w:val="24"/>
          <w:szCs w:val="24"/>
        </w:rPr>
        <w:t xml:space="preserve">held </w:t>
      </w:r>
      <w:r w:rsidR="009434C3" w:rsidRPr="00710ACA">
        <w:rPr>
          <w:rFonts w:ascii="Times New Roman" w:hAnsi="Times New Roman" w:cs="Times New Roman"/>
          <w:iCs/>
          <w:sz w:val="24"/>
          <w:szCs w:val="24"/>
        </w:rPr>
        <w:t xml:space="preserve">on </w:t>
      </w:r>
      <w:r w:rsidR="002947C2" w:rsidRPr="002947C2">
        <w:rPr>
          <w:rFonts w:ascii="Times New Roman" w:hAnsi="Times New Roman" w:cs="Times New Roman"/>
          <w:iCs/>
          <w:sz w:val="24"/>
          <w:szCs w:val="24"/>
        </w:rPr>
        <w:t xml:space="preserve">5 March 2025 </w:t>
      </w:r>
      <w:r w:rsidR="00FF6C38" w:rsidRPr="00710ACA">
        <w:rPr>
          <w:rFonts w:ascii="Times New Roman" w:hAnsi="Times New Roman" w:cs="Times New Roman"/>
          <w:iCs/>
          <w:sz w:val="24"/>
          <w:szCs w:val="24"/>
        </w:rPr>
        <w:t>on</w:t>
      </w:r>
      <w:r w:rsidR="00335116" w:rsidRPr="00710ACA">
        <w:rPr>
          <w:rFonts w:ascii="Times New Roman" w:hAnsi="Times New Roman" w:cs="Times New Roman"/>
          <w:iCs/>
          <w:sz w:val="24"/>
          <w:szCs w:val="24"/>
        </w:rPr>
        <w:t xml:space="preserve"> the margins of </w:t>
      </w:r>
      <w:r w:rsidR="00495576" w:rsidRPr="00710ACA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495576" w:rsidRPr="00710ACA">
        <w:rPr>
          <w:rFonts w:ascii="Times New Roman" w:hAnsi="Times New Roman" w:cs="Times New Roman"/>
          <w:bCs/>
          <w:iCs/>
          <w:sz w:val="24"/>
          <w:szCs w:val="24"/>
        </w:rPr>
        <w:t>fifty-</w:t>
      </w:r>
      <w:r w:rsidR="002947C2">
        <w:rPr>
          <w:rFonts w:ascii="Times New Roman" w:hAnsi="Times New Roman" w:cs="Times New Roman"/>
          <w:bCs/>
          <w:iCs/>
          <w:sz w:val="24"/>
          <w:szCs w:val="24"/>
        </w:rPr>
        <w:t>sixth</w:t>
      </w:r>
      <w:r w:rsidR="00495576"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 session </w:t>
      </w:r>
      <w:r w:rsidR="006D35BA" w:rsidRPr="00710ACA">
        <w:rPr>
          <w:rFonts w:ascii="Times New Roman" w:hAnsi="Times New Roman" w:cs="Times New Roman"/>
          <w:iCs/>
          <w:sz w:val="24"/>
          <w:szCs w:val="24"/>
        </w:rPr>
        <w:t xml:space="preserve">of the </w:t>
      </w:r>
      <w:r w:rsidR="0009291D" w:rsidRPr="00710ACA">
        <w:rPr>
          <w:rFonts w:ascii="Times New Roman" w:hAnsi="Times New Roman" w:cs="Times New Roman"/>
          <w:iCs/>
          <w:sz w:val="24"/>
          <w:szCs w:val="24"/>
        </w:rPr>
        <w:t>UNSC</w:t>
      </w:r>
      <w:r w:rsidR="006D35BA" w:rsidRPr="00710A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0ACA">
        <w:rPr>
          <w:rFonts w:ascii="Times New Roman" w:hAnsi="Times New Roman" w:cs="Times New Roman"/>
          <w:iCs/>
          <w:sz w:val="24"/>
          <w:szCs w:val="24"/>
        </w:rPr>
        <w:t xml:space="preserve">and the decisions agreed </w:t>
      </w:r>
      <w:r w:rsidR="00495576" w:rsidRPr="00710ACA">
        <w:rPr>
          <w:rFonts w:ascii="Times New Roman" w:hAnsi="Times New Roman" w:cs="Times New Roman"/>
          <w:iCs/>
          <w:sz w:val="24"/>
          <w:szCs w:val="24"/>
        </w:rPr>
        <w:t xml:space="preserve">upon </w:t>
      </w:r>
      <w:r w:rsidRPr="00710ACA">
        <w:rPr>
          <w:rFonts w:ascii="Times New Roman" w:hAnsi="Times New Roman" w:cs="Times New Roman"/>
          <w:iCs/>
          <w:sz w:val="24"/>
          <w:szCs w:val="24"/>
        </w:rPr>
        <w:t>there</w:t>
      </w:r>
      <w:r w:rsidR="00495576" w:rsidRPr="00710ACA">
        <w:rPr>
          <w:rFonts w:ascii="Times New Roman" w:hAnsi="Times New Roman" w:cs="Times New Roman"/>
          <w:iCs/>
          <w:sz w:val="24"/>
          <w:szCs w:val="24"/>
        </w:rPr>
        <w:t>in</w:t>
      </w:r>
      <w:r w:rsidR="00385599" w:rsidRPr="00710ACA">
        <w:rPr>
          <w:rFonts w:ascii="Times New Roman" w:hAnsi="Times New Roman" w:cs="Times New Roman"/>
          <w:iCs/>
          <w:sz w:val="24"/>
          <w:szCs w:val="24"/>
        </w:rPr>
        <w:t>;</w:t>
      </w:r>
    </w:p>
    <w:p w14:paraId="5B0604CB" w14:textId="59B5F34A" w:rsidR="002947C2" w:rsidRPr="00710ACA" w:rsidRDefault="002947C2" w:rsidP="00F129CB">
      <w:pPr>
        <w:spacing w:before="12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947C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Taking note with appreciation</w:t>
      </w:r>
      <w:r w:rsidRPr="002947C2">
        <w:rPr>
          <w:rFonts w:ascii="Times New Roman" w:hAnsi="Times New Roman" w:cs="Times New Roman"/>
          <w:iCs/>
          <w:sz w:val="24"/>
          <w:szCs w:val="24"/>
        </w:rPr>
        <w:t xml:space="preserve"> of the reports of the OIC-</w:t>
      </w:r>
      <w:proofErr w:type="spellStart"/>
      <w:r w:rsidRPr="002947C2">
        <w:rPr>
          <w:rFonts w:ascii="Times New Roman" w:hAnsi="Times New Roman" w:cs="Times New Roman"/>
          <w:iCs/>
          <w:sz w:val="24"/>
          <w:szCs w:val="24"/>
        </w:rPr>
        <w:t>StatCom</w:t>
      </w:r>
      <w:proofErr w:type="spellEnd"/>
      <w:r w:rsidRPr="002947C2">
        <w:rPr>
          <w:rFonts w:ascii="Times New Roman" w:hAnsi="Times New Roman" w:cs="Times New Roman"/>
          <w:iCs/>
          <w:sz w:val="24"/>
          <w:szCs w:val="24"/>
        </w:rPr>
        <w:t xml:space="preserve"> Secretariat, namely: (</w:t>
      </w:r>
      <w:proofErr w:type="spellStart"/>
      <w:r w:rsidRPr="002947C2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2947C2">
        <w:rPr>
          <w:rFonts w:ascii="Times New Roman" w:hAnsi="Times New Roman" w:cs="Times New Roman"/>
          <w:iCs/>
          <w:sz w:val="24"/>
          <w:szCs w:val="24"/>
        </w:rPr>
        <w:t>) the Report on the Implementation of the OIC-</w:t>
      </w:r>
      <w:proofErr w:type="spellStart"/>
      <w:r w:rsidRPr="002947C2">
        <w:rPr>
          <w:rFonts w:ascii="Times New Roman" w:hAnsi="Times New Roman" w:cs="Times New Roman"/>
          <w:iCs/>
          <w:sz w:val="24"/>
          <w:szCs w:val="24"/>
        </w:rPr>
        <w:t>StatCom</w:t>
      </w:r>
      <w:proofErr w:type="spellEnd"/>
      <w:r w:rsidRPr="002947C2">
        <w:rPr>
          <w:rFonts w:ascii="Times New Roman" w:hAnsi="Times New Roman" w:cs="Times New Roman"/>
          <w:iCs/>
          <w:sz w:val="24"/>
          <w:szCs w:val="24"/>
        </w:rPr>
        <w:t xml:space="preserve"> Programme of Action (</w:t>
      </w:r>
      <w:proofErr w:type="spellStart"/>
      <w:r w:rsidRPr="002947C2">
        <w:rPr>
          <w:rFonts w:ascii="Times New Roman" w:hAnsi="Times New Roman" w:cs="Times New Roman"/>
          <w:iCs/>
          <w:sz w:val="24"/>
          <w:szCs w:val="24"/>
        </w:rPr>
        <w:t>PoA</w:t>
      </w:r>
      <w:proofErr w:type="spellEnd"/>
      <w:r w:rsidRPr="002947C2">
        <w:rPr>
          <w:rFonts w:ascii="Times New Roman" w:hAnsi="Times New Roman" w:cs="Times New Roman"/>
          <w:iCs/>
          <w:sz w:val="24"/>
          <w:szCs w:val="24"/>
        </w:rPr>
        <w:t>) for 2021–2025; (ii) the Report on the Implementation of the Resolutions of the 13th Session; and (iii) the Draft Programme of Action (</w:t>
      </w:r>
      <w:proofErr w:type="spellStart"/>
      <w:r w:rsidRPr="002947C2">
        <w:rPr>
          <w:rFonts w:ascii="Times New Roman" w:hAnsi="Times New Roman" w:cs="Times New Roman"/>
          <w:iCs/>
          <w:sz w:val="24"/>
          <w:szCs w:val="24"/>
        </w:rPr>
        <w:t>PoA</w:t>
      </w:r>
      <w:proofErr w:type="spellEnd"/>
      <w:r w:rsidRPr="002947C2">
        <w:rPr>
          <w:rFonts w:ascii="Times New Roman" w:hAnsi="Times New Roman" w:cs="Times New Roman"/>
          <w:iCs/>
          <w:sz w:val="24"/>
          <w:szCs w:val="24"/>
        </w:rPr>
        <w:t>) for 2026–2030 under the Strategic Vision of the OIC-</w:t>
      </w:r>
      <w:proofErr w:type="spellStart"/>
      <w:r w:rsidRPr="002947C2">
        <w:rPr>
          <w:rFonts w:ascii="Times New Roman" w:hAnsi="Times New Roman" w:cs="Times New Roman"/>
          <w:iCs/>
          <w:sz w:val="24"/>
          <w:szCs w:val="24"/>
        </w:rPr>
        <w:t>StatCom</w:t>
      </w:r>
      <w:proofErr w:type="spellEnd"/>
      <w:r w:rsidRPr="002947C2">
        <w:rPr>
          <w:rFonts w:ascii="Times New Roman" w:hAnsi="Times New Roman" w:cs="Times New Roman"/>
          <w:iCs/>
          <w:sz w:val="24"/>
          <w:szCs w:val="24"/>
        </w:rPr>
        <w:t xml:space="preserve"> for 2030, as well as the overall Work Programme of the 14th Session and the accompanying concept notes and draft programmes of its side events.</w:t>
      </w:r>
      <w:proofErr w:type="gramEnd"/>
    </w:p>
    <w:p w14:paraId="51225690" w14:textId="77777777" w:rsidR="001E2AB1" w:rsidRDefault="001E2AB1" w:rsidP="00F129CB">
      <w:pPr>
        <w:spacing w:before="120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1E2AB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Recognising </w:t>
      </w:r>
      <w:r w:rsidRPr="001E2AB1">
        <w:rPr>
          <w:rFonts w:ascii="Times New Roman" w:hAnsi="Times New Roman" w:cs="Times New Roman"/>
          <w:iCs/>
          <w:sz w:val="24"/>
          <w:szCs w:val="24"/>
        </w:rPr>
        <w:t>the importance of sustained collaboration to enhance National Statistical Systems (NSSs) and to align with international initiatives for sustainable development, and building on the implementation of the OIC-</w:t>
      </w:r>
      <w:proofErr w:type="spellStart"/>
      <w:r w:rsidRPr="001E2AB1">
        <w:rPr>
          <w:rFonts w:ascii="Times New Roman" w:hAnsi="Times New Roman" w:cs="Times New Roman"/>
          <w:iCs/>
          <w:sz w:val="24"/>
          <w:szCs w:val="24"/>
        </w:rPr>
        <w:t>StatCom</w:t>
      </w:r>
      <w:proofErr w:type="spellEnd"/>
      <w:r w:rsidRPr="001E2AB1">
        <w:rPr>
          <w:rFonts w:ascii="Times New Roman" w:hAnsi="Times New Roman" w:cs="Times New Roman"/>
          <w:iCs/>
          <w:sz w:val="24"/>
          <w:szCs w:val="24"/>
        </w:rPr>
        <w:t xml:space="preserve"> Strategic Vision 2030 and its first </w:t>
      </w:r>
      <w:proofErr w:type="spellStart"/>
      <w:r w:rsidRPr="001E2AB1">
        <w:rPr>
          <w:rFonts w:ascii="Times New Roman" w:hAnsi="Times New Roman" w:cs="Times New Roman"/>
          <w:iCs/>
          <w:sz w:val="24"/>
          <w:szCs w:val="24"/>
        </w:rPr>
        <w:t>PoA</w:t>
      </w:r>
      <w:proofErr w:type="spellEnd"/>
      <w:r w:rsidRPr="001E2AB1">
        <w:rPr>
          <w:rFonts w:ascii="Times New Roman" w:hAnsi="Times New Roman" w:cs="Times New Roman"/>
          <w:iCs/>
          <w:sz w:val="24"/>
          <w:szCs w:val="24"/>
        </w:rPr>
        <w:t xml:space="preserve"> (2021–2025)</w:t>
      </w:r>
      <w:proofErr w:type="gramStart"/>
      <w:r w:rsidRPr="001E2AB1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</w:p>
    <w:p w14:paraId="49D871FC" w14:textId="5BE73D2A" w:rsidR="008E36B4" w:rsidRPr="00710ACA" w:rsidRDefault="0009291D" w:rsidP="00F129CB">
      <w:pPr>
        <w:spacing w:before="12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710ACA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Noting with appreciation</w:t>
      </w:r>
      <w:r w:rsidRPr="00710A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10ACA">
        <w:rPr>
          <w:rFonts w:ascii="Times New Roman" w:hAnsi="Times New Roman" w:cs="Times New Roman"/>
          <w:iCs/>
          <w:sz w:val="24"/>
          <w:szCs w:val="24"/>
        </w:rPr>
        <w:t xml:space="preserve">the contributions of various speakers and participants during the sessions on key themes, including; </w:t>
      </w:r>
      <w:r w:rsidRPr="00710ACA">
        <w:rPr>
          <w:rFonts w:ascii="Times New Roman" w:hAnsi="Times New Roman" w:cs="Times New Roman"/>
          <w:i/>
          <w:sz w:val="24"/>
          <w:szCs w:val="24"/>
        </w:rPr>
        <w:t>“</w:t>
      </w:r>
      <w:r w:rsidR="002947C2" w:rsidRPr="002947C2">
        <w:rPr>
          <w:rFonts w:ascii="Times New Roman" w:hAnsi="Times New Roman" w:cs="Times New Roman"/>
          <w:i/>
          <w:sz w:val="24"/>
          <w:szCs w:val="24"/>
        </w:rPr>
        <w:t>The OIC-</w:t>
      </w:r>
      <w:proofErr w:type="spellStart"/>
      <w:r w:rsidR="002947C2" w:rsidRPr="002947C2">
        <w:rPr>
          <w:rFonts w:ascii="Times New Roman" w:hAnsi="Times New Roman" w:cs="Times New Roman"/>
          <w:i/>
          <w:sz w:val="24"/>
          <w:szCs w:val="24"/>
        </w:rPr>
        <w:t>StatCom</w:t>
      </w:r>
      <w:proofErr w:type="spellEnd"/>
      <w:r w:rsidR="002947C2" w:rsidRPr="002947C2">
        <w:rPr>
          <w:rFonts w:ascii="Times New Roman" w:hAnsi="Times New Roman" w:cs="Times New Roman"/>
          <w:i/>
          <w:sz w:val="24"/>
          <w:szCs w:val="24"/>
        </w:rPr>
        <w:t xml:space="preserve"> Programme of Action for 2026-2030</w:t>
      </w:r>
      <w:r w:rsidRPr="00710ACA">
        <w:rPr>
          <w:rFonts w:ascii="Times New Roman" w:hAnsi="Times New Roman" w:cs="Times New Roman"/>
          <w:i/>
          <w:sz w:val="24"/>
          <w:szCs w:val="24"/>
        </w:rPr>
        <w:t>”, “</w:t>
      </w:r>
      <w:r w:rsidR="002947C2" w:rsidRPr="002947C2">
        <w:rPr>
          <w:rFonts w:ascii="Times New Roman" w:hAnsi="Times New Roman" w:cs="Times New Roman"/>
          <w:i/>
          <w:sz w:val="24"/>
          <w:szCs w:val="24"/>
        </w:rPr>
        <w:t>Role of National Statistical Offices in Supporting Data-Driven Energy Transitions</w:t>
      </w:r>
      <w:r w:rsidRPr="00710ACA">
        <w:rPr>
          <w:rFonts w:ascii="Times New Roman" w:hAnsi="Times New Roman" w:cs="Times New Roman"/>
          <w:i/>
          <w:sz w:val="24"/>
          <w:szCs w:val="24"/>
        </w:rPr>
        <w:t>”, “</w:t>
      </w:r>
      <w:r w:rsidR="002947C2" w:rsidRPr="002947C2">
        <w:rPr>
          <w:rFonts w:ascii="Times New Roman" w:hAnsi="Times New Roman" w:cs="Times New Roman"/>
          <w:i/>
          <w:sz w:val="24"/>
          <w:szCs w:val="24"/>
        </w:rPr>
        <w:t>Modernization of NSOs through Digitalization</w:t>
      </w:r>
      <w:r w:rsidRPr="00710ACA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710ACA">
        <w:rPr>
          <w:rFonts w:ascii="Times New Roman" w:hAnsi="Times New Roman" w:cs="Times New Roman"/>
          <w:iCs/>
          <w:sz w:val="24"/>
          <w:szCs w:val="24"/>
        </w:rPr>
        <w:t>and</w:t>
      </w:r>
      <w:r w:rsidRPr="00710ACA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="002947C2" w:rsidRPr="002947C2">
        <w:rPr>
          <w:rFonts w:ascii="Times New Roman" w:hAnsi="Times New Roman" w:cs="Times New Roman"/>
          <w:i/>
          <w:sz w:val="24"/>
          <w:szCs w:val="24"/>
        </w:rPr>
        <w:t>Sustainable Development Goals: Monitoring and Reporting SDG 4 (Quality Education)</w:t>
      </w:r>
      <w:r w:rsidRPr="00710ACA">
        <w:rPr>
          <w:rFonts w:ascii="Times New Roman" w:hAnsi="Times New Roman" w:cs="Times New Roman"/>
          <w:i/>
          <w:sz w:val="24"/>
          <w:szCs w:val="24"/>
        </w:rPr>
        <w:t>”</w:t>
      </w:r>
      <w:r w:rsidR="00495576" w:rsidRPr="00710AC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E1698" w:rsidRPr="00710ACA">
        <w:rPr>
          <w:rFonts w:ascii="Times New Roman" w:hAnsi="Times New Roman" w:cs="Times New Roman"/>
          <w:iCs/>
          <w:sz w:val="24"/>
          <w:szCs w:val="24"/>
        </w:rPr>
        <w:t>made</w:t>
      </w:r>
      <w:r w:rsidR="004D12A6" w:rsidRPr="00710ACA">
        <w:rPr>
          <w:rFonts w:ascii="Times New Roman" w:hAnsi="Times New Roman" w:cs="Times New Roman"/>
          <w:iCs/>
          <w:sz w:val="24"/>
          <w:szCs w:val="24"/>
        </w:rPr>
        <w:t xml:space="preserve"> by </w:t>
      </w:r>
      <w:r w:rsidR="00DB06FC" w:rsidRPr="00710ACA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803049" w:rsidRPr="00710ACA">
        <w:rPr>
          <w:rFonts w:ascii="Times New Roman" w:hAnsi="Times New Roman" w:cs="Times New Roman"/>
          <w:iCs/>
          <w:sz w:val="24"/>
          <w:szCs w:val="24"/>
        </w:rPr>
        <w:t xml:space="preserve">OIC </w:t>
      </w:r>
      <w:r w:rsidR="00495576" w:rsidRPr="00710ACA">
        <w:rPr>
          <w:rFonts w:ascii="Times New Roman" w:hAnsi="Times New Roman" w:cs="Times New Roman"/>
          <w:iCs/>
          <w:sz w:val="24"/>
          <w:szCs w:val="24"/>
        </w:rPr>
        <w:t xml:space="preserve">member countries </w:t>
      </w:r>
      <w:r w:rsidR="00EE1451" w:rsidRPr="00710ACA">
        <w:rPr>
          <w:rFonts w:ascii="Times New Roman" w:hAnsi="Times New Roman" w:cs="Times New Roman"/>
          <w:iCs/>
          <w:sz w:val="24"/>
          <w:szCs w:val="24"/>
        </w:rPr>
        <w:t xml:space="preserve">as well as </w:t>
      </w:r>
      <w:r w:rsidR="006E1698" w:rsidRPr="00710ACA">
        <w:rPr>
          <w:rFonts w:ascii="Times New Roman" w:hAnsi="Times New Roman" w:cs="Times New Roman"/>
          <w:iCs/>
          <w:sz w:val="24"/>
          <w:szCs w:val="24"/>
        </w:rPr>
        <w:t xml:space="preserve">by the </w:t>
      </w:r>
      <w:r w:rsidR="00DB06FC" w:rsidRPr="00710ACA">
        <w:rPr>
          <w:rFonts w:ascii="Times New Roman" w:hAnsi="Times New Roman" w:cs="Times New Roman"/>
          <w:iCs/>
          <w:sz w:val="24"/>
          <w:szCs w:val="24"/>
        </w:rPr>
        <w:t>representatives</w:t>
      </w:r>
      <w:r w:rsidR="008E36B4" w:rsidRPr="00710ACA">
        <w:rPr>
          <w:rFonts w:ascii="Times New Roman" w:hAnsi="Times New Roman" w:cs="Times New Roman"/>
          <w:iCs/>
          <w:sz w:val="24"/>
          <w:szCs w:val="24"/>
        </w:rPr>
        <w:t xml:space="preserve"> of the regional and international </w:t>
      </w:r>
      <w:r w:rsidR="00E774C2" w:rsidRPr="00710ACA">
        <w:rPr>
          <w:rFonts w:ascii="Times New Roman" w:hAnsi="Times New Roman" w:cs="Times New Roman"/>
          <w:iCs/>
          <w:sz w:val="24"/>
          <w:szCs w:val="24"/>
        </w:rPr>
        <w:t>organisations including</w:t>
      </w:r>
      <w:r w:rsidR="00F52B08" w:rsidRPr="00710A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47C2" w:rsidRPr="002947C2">
        <w:rPr>
          <w:rFonts w:ascii="Times New Roman" w:hAnsi="Times New Roman" w:cs="Times New Roman"/>
          <w:iCs/>
          <w:sz w:val="24"/>
          <w:szCs w:val="24"/>
        </w:rPr>
        <w:t>AITRS, IEA, PARIS21, UI</w:t>
      </w:r>
      <w:r w:rsidR="002947C2">
        <w:rPr>
          <w:rFonts w:ascii="Times New Roman" w:hAnsi="Times New Roman" w:cs="Times New Roman"/>
          <w:iCs/>
          <w:sz w:val="24"/>
          <w:szCs w:val="24"/>
        </w:rPr>
        <w:t>S, UNECE, UNFPA and</w:t>
      </w:r>
      <w:r w:rsidR="002947C2" w:rsidRPr="002947C2">
        <w:rPr>
          <w:rFonts w:ascii="Times New Roman" w:hAnsi="Times New Roman" w:cs="Times New Roman"/>
          <w:iCs/>
          <w:sz w:val="24"/>
          <w:szCs w:val="24"/>
        </w:rPr>
        <w:t xml:space="preserve"> UNSD</w:t>
      </w:r>
      <w:r w:rsidR="00803049" w:rsidRPr="00710ACA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</w:p>
    <w:bookmarkEnd w:id="0"/>
    <w:p w14:paraId="399B8D2E" w14:textId="4B9A0696" w:rsidR="002E3ABF" w:rsidRPr="002E3ABF" w:rsidRDefault="002E3ABF" w:rsidP="00F129CB">
      <w:pPr>
        <w:pStyle w:val="ListParagraph"/>
        <w:numPr>
          <w:ilvl w:val="0"/>
          <w:numId w:val="1"/>
        </w:numPr>
        <w:spacing w:before="120"/>
        <w:ind w:left="851" w:hanging="57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E3ABF">
        <w:rPr>
          <w:rFonts w:asciiTheme="majorBidi" w:hAnsiTheme="majorBidi" w:cstheme="majorBidi"/>
          <w:b/>
          <w:bCs/>
          <w:sz w:val="24"/>
          <w:szCs w:val="24"/>
        </w:rPr>
        <w:t xml:space="preserve">Adopts </w:t>
      </w:r>
      <w:r w:rsidRPr="002E3ABF">
        <w:rPr>
          <w:rFonts w:asciiTheme="majorBidi" w:hAnsiTheme="majorBidi" w:cstheme="majorBidi"/>
          <w:sz w:val="24"/>
          <w:szCs w:val="24"/>
        </w:rPr>
        <w:t>the OIC-</w:t>
      </w:r>
      <w:proofErr w:type="spellStart"/>
      <w:r w:rsidRPr="002E3ABF">
        <w:rPr>
          <w:rFonts w:asciiTheme="majorBidi" w:hAnsiTheme="majorBidi" w:cstheme="majorBidi"/>
          <w:sz w:val="24"/>
          <w:szCs w:val="24"/>
        </w:rPr>
        <w:t>StatCom</w:t>
      </w:r>
      <w:proofErr w:type="spellEnd"/>
      <w:r w:rsidRPr="002E3ABF">
        <w:rPr>
          <w:rFonts w:asciiTheme="majorBidi" w:hAnsiTheme="majorBidi" w:cstheme="majorBidi"/>
          <w:sz w:val="24"/>
          <w:szCs w:val="24"/>
        </w:rPr>
        <w:t xml:space="preserve"> Programme of Action (</w:t>
      </w:r>
      <w:proofErr w:type="spellStart"/>
      <w:r w:rsidRPr="002E3ABF">
        <w:rPr>
          <w:rFonts w:asciiTheme="majorBidi" w:hAnsiTheme="majorBidi" w:cstheme="majorBidi"/>
          <w:sz w:val="24"/>
          <w:szCs w:val="24"/>
        </w:rPr>
        <w:t>PoA</w:t>
      </w:r>
      <w:proofErr w:type="spellEnd"/>
      <w:r w:rsidRPr="002E3ABF">
        <w:rPr>
          <w:rFonts w:asciiTheme="majorBidi" w:hAnsiTheme="majorBidi" w:cstheme="majorBidi"/>
          <w:sz w:val="24"/>
          <w:szCs w:val="24"/>
        </w:rPr>
        <w:t>) for 2026–2030, prepared under the Strategic Vision of the OIC-</w:t>
      </w:r>
      <w:proofErr w:type="spellStart"/>
      <w:r w:rsidRPr="002E3ABF">
        <w:rPr>
          <w:rFonts w:asciiTheme="majorBidi" w:hAnsiTheme="majorBidi" w:cstheme="majorBidi"/>
          <w:sz w:val="24"/>
          <w:szCs w:val="24"/>
        </w:rPr>
        <w:t>StatCom</w:t>
      </w:r>
      <w:proofErr w:type="spellEnd"/>
      <w:r w:rsidRPr="002E3ABF">
        <w:rPr>
          <w:rFonts w:asciiTheme="majorBidi" w:hAnsiTheme="majorBidi" w:cstheme="majorBidi"/>
          <w:sz w:val="24"/>
          <w:szCs w:val="24"/>
        </w:rPr>
        <w:t xml:space="preserve"> for 2030 to operationalise its strategic areas and objectives through concrete key actions, timelines, and performance indicators; </w:t>
      </w:r>
      <w:r w:rsidRPr="002E3ABF">
        <w:rPr>
          <w:rFonts w:asciiTheme="majorBidi" w:hAnsiTheme="majorBidi" w:cstheme="majorBidi"/>
          <w:b/>
          <w:bCs/>
          <w:sz w:val="24"/>
          <w:szCs w:val="24"/>
        </w:rPr>
        <w:t>requests</w:t>
      </w:r>
      <w:r w:rsidRPr="002E3ABF">
        <w:rPr>
          <w:rFonts w:asciiTheme="majorBidi" w:hAnsiTheme="majorBidi" w:cstheme="majorBidi"/>
          <w:sz w:val="24"/>
          <w:szCs w:val="24"/>
        </w:rPr>
        <w:t xml:space="preserve"> the Secretariat, in close collaboration with National Statistical Offices (NSOs), to follow up on and facilitate its implementation and to report regularly on progress to the main sessions and follow-up meetings of the Commission, thereby ensuring that the new </w:t>
      </w:r>
      <w:proofErr w:type="spellStart"/>
      <w:r w:rsidRPr="002E3ABF">
        <w:rPr>
          <w:rFonts w:asciiTheme="majorBidi" w:hAnsiTheme="majorBidi" w:cstheme="majorBidi"/>
          <w:sz w:val="24"/>
          <w:szCs w:val="24"/>
        </w:rPr>
        <w:t>PoA</w:t>
      </w:r>
      <w:proofErr w:type="spellEnd"/>
      <w:r w:rsidRPr="002E3ABF">
        <w:rPr>
          <w:rFonts w:asciiTheme="majorBidi" w:hAnsiTheme="majorBidi" w:cstheme="majorBidi"/>
          <w:sz w:val="24"/>
          <w:szCs w:val="24"/>
        </w:rPr>
        <w:t xml:space="preserve"> effectively contributes to the realisation of the Strategic Vision of the OIC-</w:t>
      </w:r>
      <w:proofErr w:type="spellStart"/>
      <w:r w:rsidRPr="002E3ABF">
        <w:rPr>
          <w:rFonts w:asciiTheme="majorBidi" w:hAnsiTheme="majorBidi" w:cstheme="majorBidi"/>
          <w:sz w:val="24"/>
          <w:szCs w:val="24"/>
        </w:rPr>
        <w:t>StatCom</w:t>
      </w:r>
      <w:proofErr w:type="spellEnd"/>
      <w:r w:rsidRPr="002E3ABF">
        <w:rPr>
          <w:rFonts w:asciiTheme="majorBidi" w:hAnsiTheme="majorBidi" w:cstheme="majorBidi"/>
          <w:sz w:val="24"/>
          <w:szCs w:val="24"/>
        </w:rPr>
        <w:t xml:space="preserve"> for 2030.</w:t>
      </w:r>
      <w:proofErr w:type="gramEnd"/>
      <w:r w:rsidRPr="002E3ABF">
        <w:rPr>
          <w:rFonts w:asciiTheme="majorBidi" w:hAnsiTheme="majorBidi" w:cstheme="majorBidi"/>
          <w:sz w:val="24"/>
          <w:szCs w:val="24"/>
        </w:rPr>
        <w:t xml:space="preserve"> </w:t>
      </w:r>
    </w:p>
    <w:p w14:paraId="713DBD3F" w14:textId="10F59D2D" w:rsidR="002E3ABF" w:rsidRPr="002E3ABF" w:rsidRDefault="002E3ABF" w:rsidP="00F129CB">
      <w:pPr>
        <w:pStyle w:val="ListParagraph"/>
        <w:numPr>
          <w:ilvl w:val="0"/>
          <w:numId w:val="1"/>
        </w:numPr>
        <w:spacing w:before="120"/>
        <w:ind w:left="851" w:hanging="578"/>
        <w:contextualSpacing w:val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2E3ABF">
        <w:rPr>
          <w:rFonts w:asciiTheme="majorBidi" w:hAnsiTheme="majorBidi" w:cstheme="majorBidi"/>
          <w:b/>
          <w:bCs/>
          <w:sz w:val="24"/>
          <w:szCs w:val="24"/>
        </w:rPr>
        <w:t>Invites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Member Countries to designate national focal points for the </w:t>
      </w:r>
      <w:proofErr w:type="spellStart"/>
      <w:r w:rsidRPr="002E3ABF">
        <w:rPr>
          <w:rFonts w:asciiTheme="majorBidi" w:hAnsiTheme="majorBidi" w:cstheme="majorBidi"/>
          <w:bCs/>
          <w:sz w:val="24"/>
          <w:szCs w:val="24"/>
        </w:rPr>
        <w:t>PoA</w:t>
      </w:r>
      <w:proofErr w:type="spellEnd"/>
      <w:r w:rsidRPr="002E3ABF">
        <w:rPr>
          <w:rFonts w:asciiTheme="majorBidi" w:hAnsiTheme="majorBidi" w:cstheme="majorBidi"/>
          <w:bCs/>
          <w:sz w:val="24"/>
          <w:szCs w:val="24"/>
        </w:rPr>
        <w:t xml:space="preserve"> 2026–2030 and to respond in a timely manner to Secretariat questionnaires and follow-ups to ensure comprehensive progress tracking and effective coordination.</w:t>
      </w:r>
    </w:p>
    <w:p w14:paraId="021D0AC0" w14:textId="653B1E84" w:rsidR="002E3ABF" w:rsidRPr="002E3ABF" w:rsidRDefault="002E3ABF" w:rsidP="00F129CB">
      <w:pPr>
        <w:pStyle w:val="ListParagraph"/>
        <w:numPr>
          <w:ilvl w:val="0"/>
          <w:numId w:val="1"/>
        </w:numPr>
        <w:spacing w:before="120"/>
        <w:ind w:left="851" w:hanging="578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E3ABF">
        <w:rPr>
          <w:rFonts w:asciiTheme="majorBidi" w:hAnsiTheme="majorBidi" w:cstheme="majorBidi"/>
          <w:b/>
          <w:bCs/>
          <w:sz w:val="24"/>
          <w:szCs w:val="24"/>
        </w:rPr>
        <w:t>Encourages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alignment of the </w:t>
      </w:r>
      <w:proofErr w:type="spellStart"/>
      <w:r w:rsidRPr="002E3ABF">
        <w:rPr>
          <w:rFonts w:asciiTheme="majorBidi" w:hAnsiTheme="majorBidi" w:cstheme="majorBidi"/>
          <w:bCs/>
          <w:sz w:val="24"/>
          <w:szCs w:val="24"/>
        </w:rPr>
        <w:t>PoA</w:t>
      </w:r>
      <w:proofErr w:type="spellEnd"/>
      <w:r w:rsidRPr="002E3ABF">
        <w:rPr>
          <w:rFonts w:asciiTheme="majorBidi" w:hAnsiTheme="majorBidi" w:cstheme="majorBidi"/>
          <w:bCs/>
          <w:sz w:val="24"/>
          <w:szCs w:val="24"/>
        </w:rPr>
        <w:t xml:space="preserve"> 2026–2030 with the forthcoming OIC Programme of Action 2026–2035 by identifying monitoring and evaluation indicators and strengthening institutional arrangements for their compilation and dissemination.</w:t>
      </w:r>
    </w:p>
    <w:p w14:paraId="23624C23" w14:textId="77777777" w:rsidR="002E3ABF" w:rsidRDefault="002E3ABF" w:rsidP="00F129CB">
      <w:pPr>
        <w:pStyle w:val="ListParagraph"/>
        <w:numPr>
          <w:ilvl w:val="0"/>
          <w:numId w:val="1"/>
        </w:numPr>
        <w:spacing w:before="120"/>
        <w:ind w:left="851" w:hanging="578"/>
        <w:contextualSpacing w:val="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2E3ABF">
        <w:rPr>
          <w:rFonts w:asciiTheme="majorBidi" w:hAnsiTheme="majorBidi" w:cstheme="majorBidi"/>
          <w:b/>
          <w:sz w:val="24"/>
          <w:szCs w:val="24"/>
        </w:rPr>
        <w:t>Acknowledges with appreciation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 the successful organisation by SESRIC, in collaboration with TURKSTAT, UNSD and ESCWA, of the thematic side event held at the Turkish House (</w:t>
      </w:r>
      <w:proofErr w:type="spellStart"/>
      <w:r w:rsidRPr="002E3ABF">
        <w:rPr>
          <w:rFonts w:asciiTheme="majorBidi" w:hAnsiTheme="majorBidi" w:cstheme="majorBidi"/>
          <w:bCs/>
          <w:sz w:val="24"/>
          <w:szCs w:val="24"/>
        </w:rPr>
        <w:t>Türkevi</w:t>
      </w:r>
      <w:proofErr w:type="spellEnd"/>
      <w:r w:rsidRPr="002E3ABF">
        <w:rPr>
          <w:rFonts w:asciiTheme="majorBidi" w:hAnsiTheme="majorBidi" w:cstheme="majorBidi"/>
          <w:bCs/>
          <w:sz w:val="24"/>
          <w:szCs w:val="24"/>
        </w:rPr>
        <w:t xml:space="preserve"> Centre) in New York in the margins of the 56th Session of the United Nations Statistical Commission, building on the resolution of the 13th Session of the OIC-</w:t>
      </w:r>
      <w:proofErr w:type="spellStart"/>
      <w:r w:rsidRPr="002E3ABF">
        <w:rPr>
          <w:rFonts w:asciiTheme="majorBidi" w:hAnsiTheme="majorBidi" w:cstheme="majorBidi"/>
          <w:bCs/>
          <w:sz w:val="24"/>
          <w:szCs w:val="24"/>
        </w:rPr>
        <w:t>StatCom</w:t>
      </w:r>
      <w:proofErr w:type="spellEnd"/>
      <w:r w:rsidRPr="002E3ABF">
        <w:rPr>
          <w:rFonts w:asciiTheme="majorBidi" w:hAnsiTheme="majorBidi" w:cstheme="majorBidi"/>
          <w:bCs/>
          <w:sz w:val="24"/>
          <w:szCs w:val="24"/>
        </w:rPr>
        <w:t xml:space="preserve">; and 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congratulates </w:t>
      </w:r>
      <w:r w:rsidRPr="002E3ABF">
        <w:rPr>
          <w:rFonts w:asciiTheme="majorBidi" w:hAnsiTheme="majorBidi" w:cstheme="majorBidi"/>
          <w:bCs/>
          <w:sz w:val="24"/>
          <w:szCs w:val="24"/>
        </w:rPr>
        <w:t>SESRIC on convening a second side event at the UN to highlight the statistical priorities of OIC Member States.</w:t>
      </w:r>
      <w:proofErr w:type="gramEnd"/>
      <w:r w:rsidRPr="002E3ABF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02AAD30D" w14:textId="1080E7CB" w:rsidR="002E3ABF" w:rsidRPr="002E3ABF" w:rsidRDefault="002E3ABF" w:rsidP="00F129CB">
      <w:pPr>
        <w:pStyle w:val="ListParagraph"/>
        <w:numPr>
          <w:ilvl w:val="0"/>
          <w:numId w:val="1"/>
        </w:numPr>
        <w:spacing w:before="120"/>
        <w:ind w:left="851" w:hanging="578"/>
        <w:contextualSpacing w:val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2E3ABF">
        <w:rPr>
          <w:rFonts w:asciiTheme="majorBidi" w:hAnsiTheme="majorBidi" w:cstheme="majorBidi"/>
          <w:b/>
          <w:sz w:val="24"/>
          <w:szCs w:val="24"/>
        </w:rPr>
        <w:t xml:space="preserve">Requests </w:t>
      </w:r>
      <w:r w:rsidRPr="002E3ABF">
        <w:rPr>
          <w:rFonts w:asciiTheme="majorBidi" w:hAnsiTheme="majorBidi" w:cstheme="majorBidi"/>
          <w:bCs/>
          <w:sz w:val="24"/>
          <w:szCs w:val="24"/>
        </w:rPr>
        <w:t>SESRIC to continue, on a regular basis, the organisation of thematic side events in the margins of future sessions of the United Nations Statistical Commission, in addition to the Follow-up Committee Meetings of the OIC-</w:t>
      </w:r>
      <w:proofErr w:type="spellStart"/>
      <w:r w:rsidRPr="002E3ABF">
        <w:rPr>
          <w:rFonts w:asciiTheme="majorBidi" w:hAnsiTheme="majorBidi" w:cstheme="majorBidi"/>
          <w:bCs/>
          <w:sz w:val="24"/>
          <w:szCs w:val="24"/>
        </w:rPr>
        <w:t>StatCom</w:t>
      </w:r>
      <w:proofErr w:type="spellEnd"/>
      <w:r w:rsidRPr="002E3ABF">
        <w:rPr>
          <w:rFonts w:asciiTheme="majorBidi" w:hAnsiTheme="majorBidi" w:cstheme="majorBidi"/>
          <w:bCs/>
          <w:sz w:val="24"/>
          <w:szCs w:val="24"/>
        </w:rPr>
        <w:t>, with the themes to be determined in line with the recommendations of the OIC-</w:t>
      </w:r>
      <w:proofErr w:type="spellStart"/>
      <w:r w:rsidRPr="002E3ABF">
        <w:rPr>
          <w:rFonts w:asciiTheme="majorBidi" w:hAnsiTheme="majorBidi" w:cstheme="majorBidi"/>
          <w:bCs/>
          <w:sz w:val="24"/>
          <w:szCs w:val="24"/>
        </w:rPr>
        <w:t>StatCom</w:t>
      </w:r>
      <w:proofErr w:type="spellEnd"/>
      <w:r w:rsidRPr="002E3ABF">
        <w:rPr>
          <w:rFonts w:asciiTheme="majorBidi" w:hAnsiTheme="majorBidi" w:cstheme="majorBidi"/>
          <w:bCs/>
          <w:sz w:val="24"/>
          <w:szCs w:val="24"/>
        </w:rPr>
        <w:t xml:space="preserve"> for each forthcoming session.</w:t>
      </w:r>
    </w:p>
    <w:p w14:paraId="2E94BE4B" w14:textId="25FC62B5" w:rsidR="00443F18" w:rsidRPr="00710ACA" w:rsidRDefault="00A92EE2" w:rsidP="00F129CB">
      <w:pPr>
        <w:pStyle w:val="ListParagraph"/>
        <w:numPr>
          <w:ilvl w:val="0"/>
          <w:numId w:val="1"/>
        </w:numPr>
        <w:spacing w:before="120"/>
        <w:ind w:left="851" w:hanging="578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sz w:val="24"/>
          <w:szCs w:val="24"/>
        </w:rPr>
        <w:lastRenderedPageBreak/>
        <w:t>Welcomes</w:t>
      </w:r>
      <w:r w:rsidRPr="00710AC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="00435DBD">
        <w:rPr>
          <w:rFonts w:asciiTheme="majorBidi" w:hAnsiTheme="majorBidi" w:cstheme="majorBidi"/>
          <w:bCs/>
          <w:sz w:val="24"/>
          <w:szCs w:val="24"/>
        </w:rPr>
        <w:t xml:space="preserve">Secretariat for the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>continued implementation of SESRIC’s Statistical Capacity Building (</w:t>
      </w:r>
      <w:proofErr w:type="spellStart"/>
      <w:r w:rsidR="002E3ABF" w:rsidRPr="002E3ABF">
        <w:rPr>
          <w:rFonts w:asciiTheme="majorBidi" w:hAnsiTheme="majorBidi" w:cstheme="majorBidi"/>
          <w:bCs/>
          <w:sz w:val="24"/>
          <w:szCs w:val="24"/>
        </w:rPr>
        <w:t>StatCaB</w:t>
      </w:r>
      <w:proofErr w:type="spellEnd"/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) Programme </w:t>
      </w:r>
      <w:r w:rsidR="00703AC5">
        <w:rPr>
          <w:rFonts w:asciiTheme="majorBidi" w:hAnsiTheme="majorBidi" w:cstheme="majorBidi"/>
          <w:bCs/>
          <w:sz w:val="24"/>
          <w:szCs w:val="24"/>
        </w:rPr>
        <w:t xml:space="preserve">reaching 560 statistical activities so far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in the spirit of </w:t>
      </w:r>
      <w:r w:rsidR="002E3ABF">
        <w:rPr>
          <w:rFonts w:asciiTheme="majorBidi" w:hAnsiTheme="majorBidi" w:cstheme="majorBidi"/>
          <w:bCs/>
          <w:sz w:val="24"/>
          <w:szCs w:val="24"/>
        </w:rPr>
        <w:t>Intra-OIC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 cooperation; </w:t>
      </w:r>
      <w:r w:rsidR="002E3ABF" w:rsidRPr="002E3ABF">
        <w:rPr>
          <w:rFonts w:asciiTheme="majorBidi" w:hAnsiTheme="majorBidi" w:cstheme="majorBidi"/>
          <w:b/>
          <w:bCs/>
          <w:sz w:val="24"/>
          <w:szCs w:val="24"/>
        </w:rPr>
        <w:t>urges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 Members to complete the forthcoming </w:t>
      </w:r>
      <w:proofErr w:type="spellStart"/>
      <w:r w:rsidR="002E3ABF" w:rsidRPr="002E3ABF">
        <w:rPr>
          <w:rFonts w:asciiTheme="majorBidi" w:hAnsiTheme="majorBidi" w:cstheme="majorBidi"/>
          <w:bCs/>
          <w:sz w:val="24"/>
          <w:szCs w:val="24"/>
        </w:rPr>
        <w:t>StatCaB</w:t>
      </w:r>
      <w:proofErr w:type="spellEnd"/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 Biennial Survey (2026–2027) and to contribute as both providers and beneficiaries; and </w:t>
      </w:r>
      <w:r w:rsidR="002E3ABF" w:rsidRPr="002E3ABF">
        <w:rPr>
          <w:rFonts w:asciiTheme="majorBidi" w:hAnsiTheme="majorBidi" w:cstheme="majorBidi"/>
          <w:b/>
          <w:bCs/>
          <w:sz w:val="24"/>
          <w:szCs w:val="24"/>
        </w:rPr>
        <w:t>requests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 the Secretariat to maintain a results-oriented approach with expanded coverage of SDG</w:t>
      </w:r>
      <w:r w:rsidR="002E3ABF">
        <w:rPr>
          <w:rFonts w:asciiTheme="majorBidi" w:hAnsiTheme="majorBidi" w:cstheme="majorBidi"/>
          <w:bCs/>
          <w:sz w:val="24"/>
          <w:szCs w:val="24"/>
        </w:rPr>
        <w:t>-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>related indicators and online materials.</w:t>
      </w:r>
      <w:proofErr w:type="gramEnd"/>
    </w:p>
    <w:p w14:paraId="0DF7CA60" w14:textId="5E636DE7" w:rsidR="002E3ABF" w:rsidRDefault="00181949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Lauds</w:t>
      </w:r>
      <w:r w:rsidRPr="002E3A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D230C" w:rsidRPr="002E3ABF">
        <w:rPr>
          <w:rFonts w:asciiTheme="majorBidi" w:hAnsiTheme="majorBidi" w:cstheme="majorBidi"/>
          <w:sz w:val="24"/>
          <w:szCs w:val="24"/>
        </w:rPr>
        <w:t>the efforts of SESRIC in supportin</w:t>
      </w:r>
      <w:r w:rsidR="00AD230C" w:rsidRPr="001E2AB1">
        <w:rPr>
          <w:rFonts w:asciiTheme="majorBidi" w:hAnsiTheme="majorBidi" w:cstheme="majorBidi"/>
          <w:sz w:val="24"/>
          <w:szCs w:val="24"/>
        </w:rPr>
        <w:t>g</w:t>
      </w:r>
      <w:r w:rsidR="00AD230C" w:rsidRPr="002E3A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E5C48" w:rsidRPr="002E3ABF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="00EA121B" w:rsidRPr="002E3ABF">
        <w:rPr>
          <w:rFonts w:asciiTheme="majorBidi" w:hAnsiTheme="majorBidi" w:cstheme="majorBidi"/>
          <w:bCs/>
          <w:sz w:val="24"/>
          <w:szCs w:val="24"/>
        </w:rPr>
        <w:t xml:space="preserve">NSOs of </w:t>
      </w:r>
      <w:r w:rsidR="007F56E6" w:rsidRPr="002E3ABF">
        <w:rPr>
          <w:rFonts w:asciiTheme="majorBidi" w:hAnsiTheme="majorBidi" w:cstheme="majorBidi"/>
          <w:bCs/>
          <w:sz w:val="24"/>
          <w:szCs w:val="24"/>
        </w:rPr>
        <w:t>OIC member countrie</w:t>
      </w:r>
      <w:r w:rsidR="007F56E6" w:rsidRPr="001E2AB1">
        <w:rPr>
          <w:rFonts w:asciiTheme="majorBidi" w:hAnsiTheme="majorBidi" w:cstheme="majorBidi"/>
          <w:sz w:val="24"/>
          <w:szCs w:val="24"/>
        </w:rPr>
        <w:t>s</w:t>
      </w:r>
      <w:r w:rsidR="007F56E6" w:rsidRPr="002E3AB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7F56E6" w:rsidRPr="002E3ABF">
        <w:rPr>
          <w:rFonts w:asciiTheme="majorBidi" w:hAnsiTheme="majorBidi" w:cstheme="majorBidi"/>
          <w:sz w:val="24"/>
          <w:szCs w:val="24"/>
        </w:rPr>
        <w:t>through the project on “Integration of the Tobacco Questions for Surveys (TQS) and TQS-Youth into the National Surveys in OIC Member Countries”</w:t>
      </w:r>
      <w:r w:rsidR="00821D1F" w:rsidRPr="002E3ABF">
        <w:rPr>
          <w:rFonts w:asciiTheme="majorBidi" w:hAnsiTheme="majorBidi" w:cstheme="majorBidi"/>
          <w:sz w:val="24"/>
          <w:szCs w:val="24"/>
        </w:rPr>
        <w:t>;</w:t>
      </w:r>
      <w:r w:rsidR="007F56E6" w:rsidRPr="002E3A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Start w:id="2" w:name="OLE_LINK5"/>
      <w:bookmarkStart w:id="3" w:name="OLE_LINK6"/>
      <w:r w:rsidR="00AD230C" w:rsidRPr="002E3ABF">
        <w:rPr>
          <w:rFonts w:asciiTheme="majorBidi" w:hAnsiTheme="majorBidi" w:cstheme="majorBidi"/>
          <w:b/>
          <w:bCs/>
          <w:sz w:val="24"/>
          <w:szCs w:val="24"/>
        </w:rPr>
        <w:t>encourages</w:t>
      </w:r>
      <w:r w:rsidR="00AD230C" w:rsidRPr="002E3ABF">
        <w:rPr>
          <w:rFonts w:asciiTheme="majorBidi" w:hAnsiTheme="majorBidi" w:cstheme="majorBidi"/>
          <w:sz w:val="24"/>
          <w:szCs w:val="24"/>
        </w:rPr>
        <w:t xml:space="preserve"> SESRIC to continue and expand this important initiative; and</w:t>
      </w:r>
      <w:r w:rsidR="00AD230C" w:rsidRPr="002E3ABF">
        <w:rPr>
          <w:rFonts w:asciiTheme="majorBidi" w:hAnsiTheme="majorBidi" w:cstheme="majorBidi"/>
          <w:b/>
          <w:bCs/>
          <w:sz w:val="24"/>
          <w:szCs w:val="24"/>
        </w:rPr>
        <w:t xml:space="preserve"> calls upon</w:t>
      </w:r>
      <w:r w:rsidR="00AD230C" w:rsidRPr="002E3ABF">
        <w:rPr>
          <w:rFonts w:asciiTheme="majorBidi" w:hAnsiTheme="majorBidi" w:cstheme="majorBidi"/>
          <w:sz w:val="24"/>
          <w:szCs w:val="24"/>
        </w:rPr>
        <w:t xml:space="preserve"> SESRIC to further collaborate with relevant national and international stakeholders </w:t>
      </w:r>
      <w:r w:rsidR="002E3ABF" w:rsidRPr="002E3ABF">
        <w:rPr>
          <w:rFonts w:asciiTheme="majorBidi" w:hAnsiTheme="majorBidi" w:cstheme="majorBidi"/>
          <w:sz w:val="24"/>
          <w:szCs w:val="24"/>
        </w:rPr>
        <w:t>to promote and support initiatives aimed at reducing tobacco use and strengthening evidence-based tobacco control policies in OIC countries.</w:t>
      </w:r>
      <w:proofErr w:type="gramEnd"/>
    </w:p>
    <w:p w14:paraId="10BC2B67" w14:textId="127AC7C0" w:rsidR="002E3ABF" w:rsidRPr="002E3ABF" w:rsidRDefault="002E3ABF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2E3ABF">
        <w:rPr>
          <w:rStyle w:val="Strong"/>
          <w:rFonts w:asciiTheme="majorBidi" w:hAnsiTheme="majorBidi" w:cstheme="majorBidi"/>
          <w:sz w:val="24"/>
          <w:szCs w:val="24"/>
        </w:rPr>
        <w:t>Encourages</w:t>
      </w:r>
      <w:r w:rsidRPr="002E3ABF">
        <w:rPr>
          <w:rFonts w:asciiTheme="majorBidi" w:hAnsiTheme="majorBidi" w:cstheme="majorBidi"/>
          <w:sz w:val="24"/>
          <w:szCs w:val="24"/>
        </w:rPr>
        <w:t xml:space="preserve"> the continued enhancement of the </w:t>
      </w:r>
      <w:r w:rsidR="001E2AB1" w:rsidRPr="001E2AB1">
        <w:rPr>
          <w:rFonts w:asciiTheme="majorBidi" w:hAnsiTheme="majorBidi" w:cstheme="majorBidi"/>
          <w:sz w:val="24"/>
          <w:szCs w:val="24"/>
        </w:rPr>
        <w:t>OIC Statistics Database (</w:t>
      </w:r>
      <w:proofErr w:type="spellStart"/>
      <w:r w:rsidR="001E2AB1" w:rsidRPr="001E2AB1">
        <w:rPr>
          <w:rFonts w:asciiTheme="majorBidi" w:hAnsiTheme="majorBidi" w:cstheme="majorBidi"/>
          <w:sz w:val="24"/>
          <w:szCs w:val="24"/>
        </w:rPr>
        <w:t>OICStat</w:t>
      </w:r>
      <w:proofErr w:type="spellEnd"/>
      <w:r w:rsidR="001E2AB1" w:rsidRPr="001E2AB1">
        <w:rPr>
          <w:rFonts w:asciiTheme="majorBidi" w:hAnsiTheme="majorBidi" w:cstheme="majorBidi"/>
          <w:sz w:val="24"/>
          <w:szCs w:val="24"/>
        </w:rPr>
        <w:t>)</w:t>
      </w:r>
      <w:r w:rsidRPr="001E2AB1">
        <w:rPr>
          <w:rFonts w:asciiTheme="majorBidi" w:hAnsiTheme="majorBidi" w:cstheme="majorBidi"/>
          <w:sz w:val="24"/>
          <w:szCs w:val="24"/>
        </w:rPr>
        <w:t>,</w:t>
      </w:r>
      <w:r w:rsidRPr="002E3ABF">
        <w:rPr>
          <w:rFonts w:asciiTheme="majorBidi" w:hAnsiTheme="majorBidi" w:cstheme="majorBidi"/>
          <w:sz w:val="24"/>
          <w:szCs w:val="24"/>
        </w:rPr>
        <w:t xml:space="preserve"> OIC Countries in Figures, and related </w:t>
      </w:r>
      <w:r w:rsidR="001E2AB1">
        <w:rPr>
          <w:rFonts w:asciiTheme="majorBidi" w:hAnsiTheme="majorBidi" w:cstheme="majorBidi"/>
          <w:sz w:val="24"/>
          <w:szCs w:val="24"/>
        </w:rPr>
        <w:t>data tools</w:t>
      </w:r>
      <w:r w:rsidRPr="002E3ABF">
        <w:rPr>
          <w:rFonts w:asciiTheme="majorBidi" w:hAnsiTheme="majorBidi" w:cstheme="majorBidi"/>
          <w:sz w:val="24"/>
          <w:szCs w:val="24"/>
        </w:rPr>
        <w:t xml:space="preserve">; </w:t>
      </w:r>
      <w:r w:rsidRPr="002E3ABF">
        <w:rPr>
          <w:rStyle w:val="Strong"/>
          <w:rFonts w:asciiTheme="majorBidi" w:hAnsiTheme="majorBidi" w:cstheme="majorBidi"/>
          <w:sz w:val="24"/>
          <w:szCs w:val="24"/>
        </w:rPr>
        <w:t>calls upon</w:t>
      </w:r>
      <w:r w:rsidRPr="002E3ABF">
        <w:rPr>
          <w:rFonts w:asciiTheme="majorBidi" w:hAnsiTheme="majorBidi" w:cstheme="majorBidi"/>
          <w:sz w:val="24"/>
          <w:szCs w:val="24"/>
        </w:rPr>
        <w:t xml:space="preserve"> Members to periodically verify country information and support the collation of institutional data for improved accuracy and usability.</w:t>
      </w:r>
    </w:p>
    <w:p w14:paraId="27E52A59" w14:textId="5B6BBB4E" w:rsidR="002E3ABF" w:rsidRDefault="002E3ABF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E3ABF">
        <w:rPr>
          <w:rFonts w:asciiTheme="majorBidi" w:hAnsiTheme="majorBidi" w:cstheme="majorBidi"/>
          <w:b/>
          <w:bCs/>
          <w:sz w:val="24"/>
          <w:szCs w:val="24"/>
        </w:rPr>
        <w:t>Underlines</w:t>
      </w:r>
      <w:r w:rsidRPr="002E3ABF">
        <w:rPr>
          <w:rFonts w:asciiTheme="majorBidi" w:hAnsiTheme="majorBidi" w:cstheme="majorBidi"/>
          <w:sz w:val="24"/>
          <w:szCs w:val="24"/>
        </w:rPr>
        <w:t xml:space="preserve"> the pivotal role of NSOs in compiling robust, comparable energy statistics and accounts to support low-carbon development and the monitoring of SDG 7; </w:t>
      </w:r>
      <w:r w:rsidRPr="002E3ABF">
        <w:rPr>
          <w:rFonts w:asciiTheme="majorBidi" w:hAnsiTheme="majorBidi" w:cstheme="majorBidi"/>
          <w:b/>
          <w:bCs/>
          <w:sz w:val="24"/>
          <w:szCs w:val="24"/>
        </w:rPr>
        <w:t>encourages</w:t>
      </w:r>
      <w:r w:rsidRPr="002E3ABF">
        <w:rPr>
          <w:rFonts w:asciiTheme="majorBidi" w:hAnsiTheme="majorBidi" w:cstheme="majorBidi"/>
          <w:sz w:val="24"/>
          <w:szCs w:val="24"/>
        </w:rPr>
        <w:t xml:space="preserve"> Members to strengthen institutional data-sharing arrangements with energy ministries, regulators and utilities, and to integrate administrative, geospatial and emerging big-data sources into regular production; and </w:t>
      </w:r>
      <w:r w:rsidRPr="002E3ABF">
        <w:rPr>
          <w:rFonts w:asciiTheme="majorBidi" w:hAnsiTheme="majorBidi" w:cstheme="majorBidi"/>
          <w:b/>
          <w:bCs/>
          <w:sz w:val="24"/>
          <w:szCs w:val="24"/>
        </w:rPr>
        <w:t>requests</w:t>
      </w:r>
      <w:r w:rsidRPr="002E3ABF">
        <w:rPr>
          <w:rFonts w:asciiTheme="majorBidi" w:hAnsiTheme="majorBidi" w:cstheme="majorBidi"/>
          <w:sz w:val="24"/>
          <w:szCs w:val="24"/>
        </w:rPr>
        <w:t xml:space="preserve"> the Secretariat to coordinate </w:t>
      </w:r>
      <w:r w:rsidR="001E2AB1">
        <w:rPr>
          <w:rFonts w:asciiTheme="majorBidi" w:hAnsiTheme="majorBidi" w:cstheme="majorBidi"/>
          <w:sz w:val="24"/>
          <w:szCs w:val="24"/>
        </w:rPr>
        <w:t>the organisation of activities</w:t>
      </w:r>
      <w:r w:rsidRPr="002E3ABF">
        <w:rPr>
          <w:rFonts w:asciiTheme="majorBidi" w:hAnsiTheme="majorBidi" w:cstheme="majorBidi"/>
          <w:sz w:val="24"/>
          <w:szCs w:val="24"/>
        </w:rPr>
        <w:t xml:space="preserve"> with relevant international organisations.</w:t>
      </w:r>
      <w:proofErr w:type="gramEnd"/>
    </w:p>
    <w:p w14:paraId="4DDC2651" w14:textId="6644A171" w:rsidR="002E3ABF" w:rsidRDefault="002E3ABF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2E3ABF">
        <w:rPr>
          <w:rFonts w:asciiTheme="majorBidi" w:hAnsiTheme="majorBidi" w:cstheme="majorBidi"/>
          <w:b/>
          <w:bCs/>
          <w:sz w:val="24"/>
          <w:szCs w:val="24"/>
        </w:rPr>
        <w:t>Calls for</w:t>
      </w:r>
      <w:r w:rsidRPr="002E3ABF">
        <w:rPr>
          <w:rFonts w:asciiTheme="majorBidi" w:hAnsiTheme="majorBidi" w:cstheme="majorBidi"/>
          <w:sz w:val="24"/>
          <w:szCs w:val="24"/>
        </w:rPr>
        <w:t xml:space="preserve"> comprehensive modernisation roadmaps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E3ABF">
        <w:rPr>
          <w:rFonts w:asciiTheme="majorBidi" w:hAnsiTheme="majorBidi" w:cstheme="majorBidi"/>
          <w:sz w:val="24"/>
          <w:szCs w:val="24"/>
        </w:rPr>
        <w:t>covering processes, governance, skills and ICT infrastructure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E3ABF">
        <w:rPr>
          <w:rFonts w:asciiTheme="majorBidi" w:hAnsiTheme="majorBidi" w:cstheme="majorBidi"/>
          <w:sz w:val="24"/>
          <w:szCs w:val="24"/>
        </w:rPr>
        <w:t xml:space="preserve">to accelerate digitalisation across NSSs; </w:t>
      </w:r>
      <w:r w:rsidRPr="002E3ABF">
        <w:rPr>
          <w:rFonts w:asciiTheme="majorBidi" w:hAnsiTheme="majorBidi" w:cstheme="majorBidi"/>
          <w:b/>
          <w:bCs/>
          <w:sz w:val="24"/>
          <w:szCs w:val="24"/>
        </w:rPr>
        <w:t>recommends</w:t>
      </w:r>
      <w:r w:rsidRPr="002E3ABF">
        <w:rPr>
          <w:rFonts w:asciiTheme="majorBidi" w:hAnsiTheme="majorBidi" w:cstheme="majorBidi"/>
          <w:sz w:val="24"/>
          <w:szCs w:val="24"/>
        </w:rPr>
        <w:t xml:space="preserve"> the adoption of internationally recommended frameworks and standards for efficient, standards-based production; and </w:t>
      </w:r>
      <w:r w:rsidRPr="002E3ABF">
        <w:rPr>
          <w:rFonts w:asciiTheme="majorBidi" w:hAnsiTheme="majorBidi" w:cstheme="majorBidi"/>
          <w:b/>
          <w:bCs/>
          <w:sz w:val="24"/>
          <w:szCs w:val="24"/>
        </w:rPr>
        <w:t>invites</w:t>
      </w:r>
      <w:r w:rsidRPr="002E3ABF">
        <w:rPr>
          <w:rFonts w:asciiTheme="majorBidi" w:hAnsiTheme="majorBidi" w:cstheme="majorBidi"/>
          <w:sz w:val="24"/>
          <w:szCs w:val="24"/>
        </w:rPr>
        <w:t xml:space="preserve"> resource mobilisation to support secure data exchange, privacy-by-design measures, and legislative updates that enable innovation.</w:t>
      </w:r>
    </w:p>
    <w:p w14:paraId="7ABB224E" w14:textId="10E2E29C" w:rsidR="002E3ABF" w:rsidRDefault="002E3ABF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2E3ABF">
        <w:rPr>
          <w:rFonts w:asciiTheme="majorBidi" w:hAnsiTheme="majorBidi" w:cstheme="majorBidi"/>
          <w:b/>
          <w:bCs/>
          <w:sz w:val="24"/>
          <w:szCs w:val="24"/>
        </w:rPr>
        <w:t>Highlights</w:t>
      </w:r>
      <w:r w:rsidRPr="002E3ABF">
        <w:rPr>
          <w:rFonts w:asciiTheme="majorBidi" w:hAnsiTheme="majorBidi" w:cstheme="majorBidi"/>
          <w:sz w:val="24"/>
          <w:szCs w:val="24"/>
        </w:rPr>
        <w:t xml:space="preserve"> the importance of aligning with the global SDG 4 indicator framework and associated methodologies to ensure comparability and policy relevance; </w:t>
      </w:r>
      <w:r w:rsidRPr="002E3ABF">
        <w:rPr>
          <w:rFonts w:asciiTheme="majorBidi" w:hAnsiTheme="majorBidi" w:cstheme="majorBidi"/>
          <w:b/>
          <w:bCs/>
          <w:sz w:val="24"/>
          <w:szCs w:val="24"/>
        </w:rPr>
        <w:t>invites</w:t>
      </w:r>
      <w:r w:rsidRPr="002E3ABF">
        <w:rPr>
          <w:rFonts w:asciiTheme="majorBidi" w:hAnsiTheme="majorBidi" w:cstheme="majorBidi"/>
          <w:sz w:val="24"/>
          <w:szCs w:val="24"/>
        </w:rPr>
        <w:t xml:space="preserve"> collaboration with UNESCO-UIS, UNSD and </w:t>
      </w:r>
      <w:r w:rsidR="001E2AB1">
        <w:rPr>
          <w:rFonts w:asciiTheme="majorBidi" w:hAnsiTheme="majorBidi" w:cstheme="majorBidi"/>
          <w:sz w:val="24"/>
          <w:szCs w:val="24"/>
        </w:rPr>
        <w:t xml:space="preserve">relevant regional and international </w:t>
      </w:r>
      <w:r w:rsidRPr="002E3ABF">
        <w:rPr>
          <w:rFonts w:asciiTheme="majorBidi" w:hAnsiTheme="majorBidi" w:cstheme="majorBidi"/>
          <w:sz w:val="24"/>
          <w:szCs w:val="24"/>
        </w:rPr>
        <w:t xml:space="preserve">partners to strengthen education-data ecosystems, including administrative, survey </w:t>
      </w:r>
      <w:r w:rsidRPr="002E3ABF">
        <w:rPr>
          <w:rFonts w:asciiTheme="majorBidi" w:hAnsiTheme="majorBidi" w:cstheme="majorBidi"/>
          <w:sz w:val="24"/>
          <w:szCs w:val="24"/>
        </w:rPr>
        <w:lastRenderedPageBreak/>
        <w:t xml:space="preserve">and learning-assessment sources; and </w:t>
      </w:r>
      <w:r w:rsidRPr="002E3ABF">
        <w:rPr>
          <w:rFonts w:asciiTheme="majorBidi" w:hAnsiTheme="majorBidi" w:cstheme="majorBidi"/>
          <w:b/>
          <w:bCs/>
          <w:sz w:val="24"/>
          <w:szCs w:val="24"/>
        </w:rPr>
        <w:t>requests</w:t>
      </w:r>
      <w:r w:rsidRPr="002E3ABF">
        <w:rPr>
          <w:rFonts w:asciiTheme="majorBidi" w:hAnsiTheme="majorBidi" w:cstheme="majorBidi"/>
          <w:sz w:val="24"/>
          <w:szCs w:val="24"/>
        </w:rPr>
        <w:t xml:space="preserve"> the Secretariat to coordinate targeted </w:t>
      </w:r>
      <w:proofErr w:type="spellStart"/>
      <w:r w:rsidRPr="002E3ABF">
        <w:rPr>
          <w:rFonts w:asciiTheme="majorBidi" w:hAnsiTheme="majorBidi" w:cstheme="majorBidi"/>
          <w:sz w:val="24"/>
          <w:szCs w:val="24"/>
        </w:rPr>
        <w:t>StatCaB</w:t>
      </w:r>
      <w:proofErr w:type="spellEnd"/>
      <w:r w:rsidRPr="002E3ABF">
        <w:rPr>
          <w:rFonts w:asciiTheme="majorBidi" w:hAnsiTheme="majorBidi" w:cstheme="majorBidi"/>
          <w:sz w:val="24"/>
          <w:szCs w:val="24"/>
        </w:rPr>
        <w:t xml:space="preserve"> activities on SDG 4 measurement and data communication.</w:t>
      </w:r>
      <w:bookmarkEnd w:id="2"/>
      <w:bookmarkEnd w:id="3"/>
    </w:p>
    <w:p w14:paraId="3CE7DB54" w14:textId="77777777" w:rsidR="002E3ABF" w:rsidRDefault="002E3ABF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2E3ABF">
        <w:rPr>
          <w:rFonts w:asciiTheme="majorBidi" w:hAnsiTheme="majorBidi" w:cstheme="majorBidi"/>
          <w:b/>
          <w:bCs/>
          <w:sz w:val="24"/>
          <w:szCs w:val="24"/>
        </w:rPr>
        <w:t>Reaffirms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the relevance of ethical frameworks for new data sources and technologies, safeguarding privacy, ensuring data quality and reinforcing public trust; 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encourages </w:t>
      </w:r>
      <w:r w:rsidRPr="002E3ABF">
        <w:rPr>
          <w:rFonts w:asciiTheme="majorBidi" w:hAnsiTheme="majorBidi" w:cstheme="majorBidi"/>
          <w:bCs/>
          <w:sz w:val="24"/>
          <w:szCs w:val="24"/>
        </w:rPr>
        <w:t>Members and partners to share best practices and to collaborate on guidance for responsible AI and data use in official statistics.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7A639110" w14:textId="77777777" w:rsidR="002E3ABF" w:rsidRDefault="002E3ABF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2E3ABF">
        <w:rPr>
          <w:rFonts w:asciiTheme="majorBidi" w:hAnsiTheme="majorBidi" w:cstheme="majorBidi"/>
          <w:b/>
          <w:bCs/>
          <w:sz w:val="24"/>
          <w:szCs w:val="24"/>
        </w:rPr>
        <w:t>Recognises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the importance of geospatial technologies and electronic data-collection tools for censuses and surveys; 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encourages 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experience-sharing and temporary exchange of devices among Members; and 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requests 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continued cooperation with international organisations toward the next census rounds. </w:t>
      </w:r>
    </w:p>
    <w:p w14:paraId="18065878" w14:textId="4D67413C" w:rsidR="002E3ABF" w:rsidRDefault="002E3ABF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2E3ABF">
        <w:rPr>
          <w:rFonts w:asciiTheme="majorBidi" w:hAnsiTheme="majorBidi" w:cstheme="majorBidi"/>
          <w:b/>
          <w:bCs/>
          <w:sz w:val="24"/>
          <w:szCs w:val="24"/>
        </w:rPr>
        <w:t xml:space="preserve">Underlines </w:t>
      </w:r>
      <w:r w:rsidRPr="002E3ABF">
        <w:rPr>
          <w:rFonts w:asciiTheme="majorBidi" w:hAnsiTheme="majorBidi" w:cstheme="majorBidi"/>
          <w:sz w:val="24"/>
          <w:szCs w:val="24"/>
        </w:rPr>
        <w:t xml:space="preserve">the benefits of responsibly utilising non-traditional data sources (e.g., big data, geospatial information, data science applications) in official statistics and </w:t>
      </w:r>
      <w:r w:rsidRPr="001E2AB1">
        <w:rPr>
          <w:rFonts w:asciiTheme="majorBidi" w:hAnsiTheme="majorBidi" w:cstheme="majorBidi"/>
          <w:b/>
          <w:bCs/>
          <w:sz w:val="24"/>
          <w:szCs w:val="24"/>
        </w:rPr>
        <w:t>calls upon</w:t>
      </w:r>
      <w:r w:rsidRPr="002E3ABF">
        <w:rPr>
          <w:rFonts w:asciiTheme="majorBidi" w:hAnsiTheme="majorBidi" w:cstheme="majorBidi"/>
          <w:sz w:val="24"/>
          <w:szCs w:val="24"/>
        </w:rPr>
        <w:t xml:space="preserve"> the international community to provide guidance and case studies to support their integration into statistical methods and procedures.</w:t>
      </w:r>
    </w:p>
    <w:p w14:paraId="0D3E6E58" w14:textId="4A3BE51D" w:rsidR="00694F70" w:rsidRPr="00E309FD" w:rsidRDefault="00694F70" w:rsidP="00047A1A">
      <w:pPr>
        <w:numPr>
          <w:ilvl w:val="0"/>
          <w:numId w:val="1"/>
        </w:numPr>
        <w:spacing w:before="120"/>
        <w:ind w:left="900" w:hanging="63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703AC5">
        <w:rPr>
          <w:rFonts w:asciiTheme="majorBidi" w:hAnsiTheme="majorBidi" w:cstheme="majorBidi"/>
          <w:b/>
          <w:bCs/>
          <w:sz w:val="24"/>
          <w:szCs w:val="24"/>
        </w:rPr>
        <w:t xml:space="preserve">Acknowledges </w:t>
      </w:r>
      <w:r w:rsidRPr="00047A1A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="0062417E">
        <w:rPr>
          <w:rFonts w:asciiTheme="majorBidi" w:hAnsiTheme="majorBidi" w:cstheme="majorBidi"/>
          <w:bCs/>
          <w:sz w:val="24"/>
          <w:szCs w:val="24"/>
        </w:rPr>
        <w:t xml:space="preserve">good </w:t>
      </w:r>
      <w:r w:rsidRPr="00047A1A">
        <w:rPr>
          <w:rFonts w:asciiTheme="majorBidi" w:hAnsiTheme="majorBidi" w:cstheme="majorBidi"/>
          <w:bCs/>
          <w:sz w:val="24"/>
          <w:szCs w:val="24"/>
        </w:rPr>
        <w:t xml:space="preserve">practices of the </w:t>
      </w:r>
      <w:r w:rsidR="0062417E">
        <w:rPr>
          <w:rFonts w:asciiTheme="majorBidi" w:hAnsiTheme="majorBidi" w:cstheme="majorBidi"/>
          <w:bCs/>
          <w:sz w:val="24"/>
          <w:szCs w:val="24"/>
        </w:rPr>
        <w:t xml:space="preserve">Members of the </w:t>
      </w:r>
      <w:r w:rsidR="00435DBD">
        <w:rPr>
          <w:rFonts w:asciiTheme="majorBidi" w:hAnsiTheme="majorBidi" w:cstheme="majorBidi"/>
          <w:bCs/>
          <w:sz w:val="24"/>
          <w:szCs w:val="24"/>
        </w:rPr>
        <w:t>Commission</w:t>
      </w:r>
      <w:r w:rsidRPr="00047A1A">
        <w:rPr>
          <w:rFonts w:asciiTheme="majorBidi" w:hAnsiTheme="majorBidi" w:cstheme="majorBidi"/>
          <w:bCs/>
          <w:sz w:val="24"/>
          <w:szCs w:val="24"/>
        </w:rPr>
        <w:t xml:space="preserve"> in various statistical domains</w:t>
      </w:r>
      <w:r w:rsidR="0062417E">
        <w:rPr>
          <w:rFonts w:asciiTheme="majorBidi" w:hAnsiTheme="majorBidi" w:cstheme="majorBidi"/>
          <w:bCs/>
          <w:sz w:val="24"/>
          <w:szCs w:val="24"/>
        </w:rPr>
        <w:t xml:space="preserve"> presented throughout the technical sessions</w:t>
      </w:r>
      <w:r w:rsidRPr="00703AC5">
        <w:rPr>
          <w:rFonts w:asciiTheme="majorBidi" w:hAnsiTheme="majorBidi" w:cstheme="majorBidi"/>
          <w:bCs/>
          <w:sz w:val="24"/>
          <w:szCs w:val="24"/>
        </w:rPr>
        <w:t xml:space="preserve">, and </w:t>
      </w:r>
      <w:r w:rsidRPr="00047A1A">
        <w:rPr>
          <w:rFonts w:asciiTheme="majorBidi" w:hAnsiTheme="majorBidi" w:cstheme="majorBidi"/>
          <w:b/>
          <w:bCs/>
          <w:sz w:val="24"/>
          <w:szCs w:val="24"/>
        </w:rPr>
        <w:t>invites</w:t>
      </w:r>
      <w:r w:rsidRPr="00703AC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2417E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="00435DBD" w:rsidRPr="00703AC5">
        <w:rPr>
          <w:rFonts w:asciiTheme="majorBidi" w:hAnsiTheme="majorBidi" w:cstheme="majorBidi"/>
          <w:bCs/>
          <w:sz w:val="24"/>
          <w:szCs w:val="24"/>
        </w:rPr>
        <w:t>Secretariat</w:t>
      </w:r>
      <w:r w:rsidRPr="00703AC5">
        <w:rPr>
          <w:rFonts w:asciiTheme="majorBidi" w:hAnsiTheme="majorBidi" w:cstheme="majorBidi"/>
          <w:bCs/>
          <w:sz w:val="24"/>
          <w:szCs w:val="24"/>
        </w:rPr>
        <w:t xml:space="preserve"> to develop a project </w:t>
      </w:r>
      <w:r w:rsidR="0062417E">
        <w:rPr>
          <w:rFonts w:asciiTheme="majorBidi" w:hAnsiTheme="majorBidi" w:cstheme="majorBidi"/>
          <w:bCs/>
          <w:sz w:val="24"/>
          <w:szCs w:val="24"/>
        </w:rPr>
        <w:t xml:space="preserve">to </w:t>
      </w:r>
      <w:r w:rsidR="0062417E" w:rsidRPr="00703AC5">
        <w:rPr>
          <w:rFonts w:asciiTheme="majorBidi" w:hAnsiTheme="majorBidi" w:cstheme="majorBidi"/>
          <w:bCs/>
          <w:sz w:val="24"/>
          <w:szCs w:val="24"/>
        </w:rPr>
        <w:t>document and showcase the key success stories of the OIC NSOs over the pas</w:t>
      </w:r>
      <w:r w:rsidR="00063066">
        <w:rPr>
          <w:rFonts w:asciiTheme="majorBidi" w:hAnsiTheme="majorBidi" w:cstheme="majorBidi"/>
          <w:bCs/>
          <w:sz w:val="24"/>
          <w:szCs w:val="24"/>
        </w:rPr>
        <w:t>t decade;</w:t>
      </w:r>
      <w:r w:rsidR="0062417E" w:rsidRPr="00E309FD">
        <w:rPr>
          <w:rFonts w:asciiTheme="majorBidi" w:hAnsiTheme="majorBidi" w:cstheme="majorBidi"/>
          <w:bCs/>
          <w:sz w:val="24"/>
          <w:szCs w:val="24"/>
        </w:rPr>
        <w:t xml:space="preserve"> and</w:t>
      </w:r>
      <w:r w:rsidR="0062417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2417E" w:rsidRPr="00703AC5">
        <w:rPr>
          <w:rFonts w:asciiTheme="majorBidi" w:hAnsiTheme="majorBidi" w:cstheme="majorBidi"/>
          <w:bCs/>
          <w:sz w:val="24"/>
          <w:szCs w:val="24"/>
        </w:rPr>
        <w:t>promote new initiatives that contribute to the quality production of official statistics</w:t>
      </w:r>
      <w:r w:rsidR="00063066">
        <w:rPr>
          <w:rFonts w:asciiTheme="majorBidi" w:hAnsiTheme="majorBidi" w:cstheme="majorBidi"/>
          <w:bCs/>
          <w:sz w:val="24"/>
          <w:szCs w:val="24"/>
        </w:rPr>
        <w:t xml:space="preserve"> to be presented by the Secretariat in the forthcoming Session.</w:t>
      </w:r>
      <w:proofErr w:type="gramEnd"/>
    </w:p>
    <w:p w14:paraId="49882509" w14:textId="60089836" w:rsidR="001E2AB1" w:rsidRPr="00047A1A" w:rsidRDefault="001E2AB1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E2AB1">
        <w:rPr>
          <w:rFonts w:asciiTheme="majorBidi" w:hAnsiTheme="majorBidi" w:cstheme="majorBidi"/>
          <w:b/>
          <w:bCs/>
          <w:sz w:val="24"/>
          <w:szCs w:val="24"/>
        </w:rPr>
        <w:t xml:space="preserve">Welcomes </w:t>
      </w:r>
      <w:r w:rsidRPr="001E2AB1">
        <w:rPr>
          <w:rFonts w:asciiTheme="majorBidi" w:hAnsiTheme="majorBidi" w:cstheme="majorBidi"/>
          <w:sz w:val="24"/>
          <w:szCs w:val="24"/>
        </w:rPr>
        <w:t xml:space="preserve">the </w:t>
      </w:r>
      <w:r w:rsidR="00D878D0">
        <w:rPr>
          <w:rFonts w:asciiTheme="majorBidi" w:hAnsiTheme="majorBidi" w:cstheme="majorBidi"/>
          <w:sz w:val="24"/>
          <w:szCs w:val="24"/>
        </w:rPr>
        <w:t xml:space="preserve">two </w:t>
      </w:r>
      <w:r w:rsidRPr="001E2AB1">
        <w:rPr>
          <w:rFonts w:asciiTheme="majorBidi" w:hAnsiTheme="majorBidi" w:cstheme="majorBidi"/>
          <w:sz w:val="24"/>
          <w:szCs w:val="24"/>
        </w:rPr>
        <w:t xml:space="preserve">side events convened </w:t>
      </w:r>
      <w:r w:rsidR="00D878D0">
        <w:rPr>
          <w:rFonts w:asciiTheme="majorBidi" w:hAnsiTheme="majorBidi" w:cstheme="majorBidi"/>
          <w:sz w:val="24"/>
          <w:szCs w:val="24"/>
        </w:rPr>
        <w:t xml:space="preserve">for the first time </w:t>
      </w:r>
      <w:r w:rsidRPr="001E2AB1">
        <w:rPr>
          <w:rFonts w:asciiTheme="majorBidi" w:hAnsiTheme="majorBidi" w:cstheme="majorBidi"/>
          <w:sz w:val="24"/>
          <w:szCs w:val="24"/>
        </w:rPr>
        <w:t>on the margins of the Session</w:t>
      </w:r>
      <w:r w:rsidR="002D6237">
        <w:rPr>
          <w:rFonts w:asciiTheme="majorBidi" w:hAnsiTheme="majorBidi" w:cstheme="majorBidi"/>
          <w:sz w:val="24"/>
          <w:szCs w:val="24"/>
        </w:rPr>
        <w:t>, namely</w:t>
      </w:r>
      <w:r w:rsidR="00A92EE2">
        <w:rPr>
          <w:rFonts w:asciiTheme="majorBidi" w:hAnsiTheme="majorBidi" w:cstheme="majorBidi"/>
          <w:sz w:val="24"/>
          <w:szCs w:val="24"/>
        </w:rPr>
        <w:t xml:space="preserve">; the </w:t>
      </w:r>
      <w:r w:rsidR="002D6237" w:rsidRPr="00047A1A">
        <w:rPr>
          <w:rFonts w:asciiTheme="majorBidi" w:hAnsiTheme="majorBidi" w:cstheme="majorBidi"/>
          <w:bCs/>
          <w:sz w:val="24"/>
          <w:szCs w:val="24"/>
          <w:lang w:val="en-US"/>
        </w:rPr>
        <w:t>Panel Discussion on “</w:t>
      </w:r>
      <w:r w:rsidR="002D6237" w:rsidRPr="00047A1A">
        <w:rPr>
          <w:rFonts w:asciiTheme="majorBidi" w:hAnsiTheme="majorBidi" w:cstheme="majorBidi"/>
          <w:bCs/>
          <w:sz w:val="24"/>
          <w:szCs w:val="24"/>
        </w:rPr>
        <w:t>The first five years of TOSSD: tracking support for the SDGs and helping monitor international development co-operation in all its forms”</w:t>
      </w:r>
      <w:r w:rsidR="002D6237">
        <w:rPr>
          <w:rFonts w:asciiTheme="majorBidi" w:hAnsiTheme="majorBidi" w:cstheme="majorBidi"/>
          <w:bCs/>
          <w:sz w:val="24"/>
          <w:szCs w:val="24"/>
        </w:rPr>
        <w:t xml:space="preserve"> held at SESRIC HQs Al-Aqsa Library on 1 October 2025; and the Side event hosted by the Turkish Statistical Institute (TURKSTAT) at their headquarters on 3 October 2025</w:t>
      </w:r>
      <w:r w:rsidRPr="001E2AB1">
        <w:rPr>
          <w:rFonts w:asciiTheme="majorBidi" w:hAnsiTheme="majorBidi" w:cstheme="majorBidi"/>
          <w:sz w:val="24"/>
          <w:szCs w:val="24"/>
        </w:rPr>
        <w:t xml:space="preserve"> as valuable platforms for knowledge sharing and partnership-building</w:t>
      </w:r>
      <w:r w:rsidR="00F22EEA">
        <w:rPr>
          <w:rFonts w:asciiTheme="majorBidi" w:hAnsiTheme="majorBidi" w:cstheme="majorBidi"/>
          <w:sz w:val="24"/>
          <w:szCs w:val="24"/>
        </w:rPr>
        <w:t>;</w:t>
      </w:r>
      <w:r w:rsidRPr="001E2AB1">
        <w:rPr>
          <w:rFonts w:asciiTheme="majorBidi" w:hAnsiTheme="majorBidi" w:cstheme="majorBidi"/>
          <w:sz w:val="24"/>
          <w:szCs w:val="24"/>
        </w:rPr>
        <w:t xml:space="preserve"> </w:t>
      </w:r>
      <w:r w:rsidR="00D878D0" w:rsidRPr="00047A1A">
        <w:rPr>
          <w:rFonts w:asciiTheme="majorBidi" w:hAnsiTheme="majorBidi" w:cstheme="majorBidi"/>
          <w:b/>
          <w:sz w:val="24"/>
          <w:szCs w:val="24"/>
        </w:rPr>
        <w:t>appreciates</w:t>
      </w:r>
      <w:r w:rsidR="00D878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2EEA">
        <w:rPr>
          <w:rFonts w:asciiTheme="majorBidi" w:hAnsiTheme="majorBidi" w:cstheme="majorBidi"/>
          <w:sz w:val="24"/>
          <w:szCs w:val="24"/>
        </w:rPr>
        <w:t>Türkiye</w:t>
      </w:r>
      <w:proofErr w:type="spellEnd"/>
      <w:r w:rsidR="00F22EEA">
        <w:rPr>
          <w:rFonts w:asciiTheme="majorBidi" w:hAnsiTheme="majorBidi" w:cstheme="majorBidi"/>
          <w:sz w:val="24"/>
          <w:szCs w:val="24"/>
        </w:rPr>
        <w:t>, International Forum on Total Official Support or Sustainable Development (</w:t>
      </w:r>
      <w:r w:rsidR="00D878D0">
        <w:rPr>
          <w:rFonts w:asciiTheme="majorBidi" w:hAnsiTheme="majorBidi" w:cstheme="majorBidi"/>
          <w:sz w:val="24"/>
          <w:szCs w:val="24"/>
        </w:rPr>
        <w:t>IFT</w:t>
      </w:r>
      <w:r w:rsidR="00F22EEA">
        <w:rPr>
          <w:rFonts w:asciiTheme="majorBidi" w:hAnsiTheme="majorBidi" w:cstheme="majorBidi"/>
          <w:sz w:val="24"/>
          <w:szCs w:val="24"/>
        </w:rPr>
        <w:t>)</w:t>
      </w:r>
      <w:r w:rsidR="00D878D0">
        <w:rPr>
          <w:rFonts w:asciiTheme="majorBidi" w:hAnsiTheme="majorBidi" w:cstheme="majorBidi"/>
          <w:sz w:val="24"/>
          <w:szCs w:val="24"/>
        </w:rPr>
        <w:t xml:space="preserve"> Secretariat</w:t>
      </w:r>
      <w:r w:rsidR="00F22EEA">
        <w:rPr>
          <w:rFonts w:asciiTheme="majorBidi" w:hAnsiTheme="majorBidi" w:cstheme="majorBidi"/>
          <w:sz w:val="24"/>
          <w:szCs w:val="24"/>
        </w:rPr>
        <w:t xml:space="preserve"> and Islamic Development Bank</w:t>
      </w:r>
      <w:r w:rsidR="00D878D0">
        <w:rPr>
          <w:rFonts w:asciiTheme="majorBidi" w:hAnsiTheme="majorBidi" w:cstheme="majorBidi"/>
          <w:sz w:val="24"/>
          <w:szCs w:val="24"/>
        </w:rPr>
        <w:t xml:space="preserve"> for hosting and co</w:t>
      </w:r>
      <w:r w:rsidR="00F22EEA">
        <w:rPr>
          <w:rFonts w:asciiTheme="majorBidi" w:hAnsiTheme="majorBidi" w:cstheme="majorBidi"/>
          <w:sz w:val="24"/>
          <w:szCs w:val="24"/>
        </w:rPr>
        <w:t>-</w:t>
      </w:r>
      <w:r w:rsidR="00D878D0">
        <w:rPr>
          <w:rFonts w:asciiTheme="majorBidi" w:hAnsiTheme="majorBidi" w:cstheme="majorBidi"/>
          <w:sz w:val="24"/>
          <w:szCs w:val="24"/>
        </w:rPr>
        <w:t xml:space="preserve">organising </w:t>
      </w:r>
      <w:r w:rsidR="00316157">
        <w:rPr>
          <w:rFonts w:asciiTheme="majorBidi" w:hAnsiTheme="majorBidi" w:cstheme="majorBidi"/>
          <w:sz w:val="24"/>
          <w:szCs w:val="24"/>
        </w:rPr>
        <w:t>these</w:t>
      </w:r>
      <w:r w:rsidR="00F22EEA">
        <w:rPr>
          <w:rFonts w:asciiTheme="majorBidi" w:hAnsiTheme="majorBidi" w:cstheme="majorBidi"/>
          <w:sz w:val="24"/>
          <w:szCs w:val="24"/>
        </w:rPr>
        <w:t xml:space="preserve"> side events; and</w:t>
      </w:r>
      <w:r w:rsidRPr="001E2AB1">
        <w:rPr>
          <w:rFonts w:asciiTheme="majorBidi" w:hAnsiTheme="majorBidi" w:cstheme="majorBidi"/>
          <w:sz w:val="24"/>
          <w:szCs w:val="24"/>
        </w:rPr>
        <w:t xml:space="preserve"> </w:t>
      </w:r>
      <w:r w:rsidRPr="001E2AB1">
        <w:rPr>
          <w:rFonts w:asciiTheme="majorBidi" w:hAnsiTheme="majorBidi" w:cstheme="majorBidi"/>
          <w:b/>
          <w:bCs/>
          <w:sz w:val="24"/>
          <w:szCs w:val="24"/>
        </w:rPr>
        <w:t>requests</w:t>
      </w:r>
      <w:r w:rsidRPr="001E2AB1">
        <w:rPr>
          <w:rFonts w:asciiTheme="majorBidi" w:hAnsiTheme="majorBidi" w:cstheme="majorBidi"/>
          <w:sz w:val="24"/>
          <w:szCs w:val="24"/>
        </w:rPr>
        <w:t xml:space="preserve"> the Secretariat to continue facilitating and supporting the organisation of such side events in coordination with </w:t>
      </w:r>
      <w:r w:rsidRPr="001E2AB1">
        <w:rPr>
          <w:rFonts w:asciiTheme="majorBidi" w:hAnsiTheme="majorBidi" w:cstheme="majorBidi"/>
          <w:bCs/>
          <w:sz w:val="24"/>
          <w:szCs w:val="24"/>
        </w:rPr>
        <w:t xml:space="preserve">Member Countries </w:t>
      </w:r>
      <w:r w:rsidRPr="001E2AB1">
        <w:rPr>
          <w:rFonts w:asciiTheme="majorBidi" w:hAnsiTheme="majorBidi" w:cstheme="majorBidi"/>
          <w:sz w:val="24"/>
          <w:szCs w:val="24"/>
        </w:rPr>
        <w:t>and relevant partners.</w:t>
      </w:r>
      <w:proofErr w:type="gramEnd"/>
      <w:r w:rsidRPr="001E2AB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11AECDC" w14:textId="2EB564E0" w:rsidR="00181949" w:rsidRPr="00181949" w:rsidRDefault="00181949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47A1A">
        <w:rPr>
          <w:rFonts w:asciiTheme="majorBidi" w:hAnsiTheme="majorBidi" w:cstheme="majorBidi"/>
          <w:b/>
          <w:sz w:val="24"/>
          <w:szCs w:val="24"/>
        </w:rPr>
        <w:lastRenderedPageBreak/>
        <w:t xml:space="preserve">Highlights </w:t>
      </w:r>
      <w:r w:rsidRPr="00047A1A">
        <w:rPr>
          <w:rFonts w:asciiTheme="majorBidi" w:hAnsiTheme="majorBidi" w:cstheme="majorBidi"/>
          <w:sz w:val="24"/>
          <w:szCs w:val="24"/>
        </w:rPr>
        <w:t xml:space="preserve">the importance of development finance statistics </w:t>
      </w:r>
      <w:r w:rsidR="00D878D0">
        <w:rPr>
          <w:rFonts w:asciiTheme="majorBidi" w:hAnsiTheme="majorBidi" w:cstheme="majorBidi"/>
          <w:sz w:val="24"/>
          <w:szCs w:val="24"/>
        </w:rPr>
        <w:t xml:space="preserve">for the visibility of South-South and Triangular Cooperation as well as Islamic finance, </w:t>
      </w:r>
      <w:r w:rsidR="00F22EEA" w:rsidRPr="00047A1A">
        <w:rPr>
          <w:rFonts w:asciiTheme="majorBidi" w:hAnsiTheme="majorBidi" w:cstheme="majorBidi"/>
          <w:b/>
          <w:sz w:val="24"/>
          <w:szCs w:val="24"/>
        </w:rPr>
        <w:t>invites</w:t>
      </w:r>
      <w:r w:rsidR="00F22EEA">
        <w:rPr>
          <w:rFonts w:asciiTheme="majorBidi" w:hAnsiTheme="majorBidi" w:cstheme="majorBidi"/>
          <w:sz w:val="24"/>
          <w:szCs w:val="24"/>
        </w:rPr>
        <w:t xml:space="preserve"> Members to engage to the possible extent in the </w:t>
      </w:r>
      <w:r w:rsidR="00316157" w:rsidRPr="00316157">
        <w:rPr>
          <w:rFonts w:asciiTheme="majorBidi" w:hAnsiTheme="majorBidi" w:cstheme="majorBidi"/>
          <w:sz w:val="24"/>
          <w:szCs w:val="24"/>
        </w:rPr>
        <w:t xml:space="preserve">Total Official Support </w:t>
      </w:r>
      <w:r w:rsidR="00316157">
        <w:rPr>
          <w:rFonts w:asciiTheme="majorBidi" w:hAnsiTheme="majorBidi" w:cstheme="majorBidi"/>
          <w:sz w:val="24"/>
          <w:szCs w:val="24"/>
        </w:rPr>
        <w:t>f</w:t>
      </w:r>
      <w:r w:rsidR="00316157" w:rsidRPr="00316157">
        <w:rPr>
          <w:rFonts w:asciiTheme="majorBidi" w:hAnsiTheme="majorBidi" w:cstheme="majorBidi"/>
          <w:sz w:val="24"/>
          <w:szCs w:val="24"/>
        </w:rPr>
        <w:t xml:space="preserve">or Sustainable Development </w:t>
      </w:r>
      <w:r w:rsidR="00316157">
        <w:rPr>
          <w:rFonts w:asciiTheme="majorBidi" w:hAnsiTheme="majorBidi" w:cstheme="majorBidi"/>
          <w:sz w:val="24"/>
          <w:szCs w:val="24"/>
        </w:rPr>
        <w:t>(</w:t>
      </w:r>
      <w:r w:rsidR="00F22EEA">
        <w:rPr>
          <w:rFonts w:asciiTheme="majorBidi" w:hAnsiTheme="majorBidi" w:cstheme="majorBidi"/>
          <w:sz w:val="24"/>
          <w:szCs w:val="24"/>
        </w:rPr>
        <w:t>TOSSD</w:t>
      </w:r>
      <w:r w:rsidR="00316157">
        <w:rPr>
          <w:rFonts w:asciiTheme="majorBidi" w:hAnsiTheme="majorBidi" w:cstheme="majorBidi"/>
          <w:sz w:val="24"/>
          <w:szCs w:val="24"/>
        </w:rPr>
        <w:t>)</w:t>
      </w:r>
      <w:r w:rsidR="00F22EEA">
        <w:rPr>
          <w:rFonts w:asciiTheme="majorBidi" w:hAnsiTheme="majorBidi" w:cstheme="majorBidi"/>
          <w:sz w:val="24"/>
          <w:szCs w:val="24"/>
        </w:rPr>
        <w:t xml:space="preserve"> framework</w:t>
      </w:r>
      <w:r w:rsidR="00316157">
        <w:rPr>
          <w:rFonts w:asciiTheme="majorBidi" w:hAnsiTheme="majorBidi" w:cstheme="majorBidi"/>
          <w:sz w:val="24"/>
          <w:szCs w:val="24"/>
        </w:rPr>
        <w:t xml:space="preserve"> and the IFT</w:t>
      </w:r>
      <w:r w:rsidR="00F219D3">
        <w:rPr>
          <w:rFonts w:asciiTheme="majorBidi" w:hAnsiTheme="majorBidi" w:cstheme="majorBidi"/>
          <w:sz w:val="24"/>
          <w:szCs w:val="24"/>
        </w:rPr>
        <w:t xml:space="preserve">; </w:t>
      </w:r>
      <w:r w:rsidR="00AB0B33">
        <w:rPr>
          <w:rFonts w:asciiTheme="majorBidi" w:hAnsiTheme="majorBidi" w:cstheme="majorBidi"/>
          <w:b/>
          <w:sz w:val="24"/>
          <w:szCs w:val="24"/>
        </w:rPr>
        <w:t>further</w:t>
      </w:r>
      <w:r w:rsidR="00AB0B33">
        <w:rPr>
          <w:rFonts w:asciiTheme="majorBidi" w:hAnsiTheme="majorBidi" w:cstheme="majorBidi"/>
          <w:sz w:val="24"/>
          <w:szCs w:val="24"/>
        </w:rPr>
        <w:t xml:space="preserve"> </w:t>
      </w:r>
      <w:r w:rsidR="00AB0B33" w:rsidRPr="00047A1A">
        <w:rPr>
          <w:rFonts w:asciiTheme="majorBidi" w:hAnsiTheme="majorBidi" w:cstheme="majorBidi"/>
          <w:b/>
          <w:sz w:val="24"/>
          <w:szCs w:val="24"/>
        </w:rPr>
        <w:t>underlines</w:t>
      </w:r>
      <w:r w:rsidR="00AB0B33">
        <w:rPr>
          <w:rFonts w:asciiTheme="majorBidi" w:hAnsiTheme="majorBidi" w:cstheme="majorBidi"/>
          <w:sz w:val="24"/>
          <w:szCs w:val="24"/>
        </w:rPr>
        <w:t xml:space="preserve"> </w:t>
      </w:r>
      <w:r w:rsidR="00180F00">
        <w:rPr>
          <w:rFonts w:asciiTheme="majorBidi" w:hAnsiTheme="majorBidi" w:cstheme="majorBidi"/>
          <w:sz w:val="24"/>
          <w:szCs w:val="24"/>
        </w:rPr>
        <w:t xml:space="preserve">the necessity for </w:t>
      </w:r>
      <w:r w:rsidR="00AB0B33">
        <w:rPr>
          <w:rFonts w:asciiTheme="majorBidi" w:hAnsiTheme="majorBidi" w:cstheme="majorBidi"/>
          <w:sz w:val="24"/>
          <w:szCs w:val="24"/>
        </w:rPr>
        <w:t>increas</w:t>
      </w:r>
      <w:r w:rsidR="00180F00">
        <w:rPr>
          <w:rFonts w:asciiTheme="majorBidi" w:hAnsiTheme="majorBidi" w:cstheme="majorBidi"/>
          <w:sz w:val="24"/>
          <w:szCs w:val="24"/>
        </w:rPr>
        <w:t>ing</w:t>
      </w:r>
      <w:r w:rsidR="00AB0B33">
        <w:rPr>
          <w:rFonts w:asciiTheme="majorBidi" w:hAnsiTheme="majorBidi" w:cstheme="majorBidi"/>
          <w:sz w:val="24"/>
          <w:szCs w:val="24"/>
        </w:rPr>
        <w:t xml:space="preserve"> the</w:t>
      </w:r>
      <w:r w:rsidR="00180F00">
        <w:rPr>
          <w:rFonts w:asciiTheme="majorBidi" w:hAnsiTheme="majorBidi" w:cstheme="majorBidi"/>
          <w:sz w:val="24"/>
          <w:szCs w:val="24"/>
        </w:rPr>
        <w:t xml:space="preserve"> national statistical</w:t>
      </w:r>
      <w:r w:rsidR="00AB0B33">
        <w:rPr>
          <w:rFonts w:asciiTheme="majorBidi" w:hAnsiTheme="majorBidi" w:cstheme="majorBidi"/>
          <w:sz w:val="24"/>
          <w:szCs w:val="24"/>
        </w:rPr>
        <w:t xml:space="preserve"> capacities in the System of National Accounts 2025 in collaboration </w:t>
      </w:r>
      <w:r w:rsidR="00180F00">
        <w:rPr>
          <w:rFonts w:asciiTheme="majorBidi" w:hAnsiTheme="majorBidi" w:cstheme="majorBidi"/>
          <w:sz w:val="24"/>
          <w:szCs w:val="24"/>
        </w:rPr>
        <w:t xml:space="preserve">with SESRIC, </w:t>
      </w:r>
      <w:r w:rsidR="00AB0B33">
        <w:rPr>
          <w:rFonts w:asciiTheme="majorBidi" w:hAnsiTheme="majorBidi" w:cstheme="majorBidi"/>
          <w:sz w:val="24"/>
          <w:szCs w:val="24"/>
        </w:rPr>
        <w:t>Islamic Development Bank Group</w:t>
      </w:r>
      <w:r w:rsidR="00180F00">
        <w:rPr>
          <w:rFonts w:asciiTheme="majorBidi" w:hAnsiTheme="majorBidi" w:cstheme="majorBidi"/>
          <w:sz w:val="24"/>
          <w:szCs w:val="24"/>
        </w:rPr>
        <w:t xml:space="preserve"> and with relevant international organisations</w:t>
      </w:r>
      <w:r w:rsidR="0031615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14:paraId="47571861" w14:textId="170C2F88" w:rsidR="002E3ABF" w:rsidRPr="002E3ABF" w:rsidRDefault="002E3ABF" w:rsidP="00F129CB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2E3ABF">
        <w:rPr>
          <w:rFonts w:asciiTheme="majorBidi" w:hAnsiTheme="majorBidi" w:cstheme="majorBidi"/>
          <w:b/>
          <w:bCs/>
          <w:sz w:val="24"/>
          <w:szCs w:val="24"/>
        </w:rPr>
        <w:t>Reiterates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the critical importance of safeguarding statistical data and infrastructure in crisis and conflict situations; </w:t>
      </w:r>
      <w:r w:rsidRPr="002E3ABF">
        <w:rPr>
          <w:rFonts w:asciiTheme="majorBidi" w:hAnsiTheme="majorBidi" w:cstheme="majorBidi"/>
          <w:b/>
          <w:sz w:val="24"/>
          <w:szCs w:val="24"/>
        </w:rPr>
        <w:t>invites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 SESRIC to organise an experience-sharing workshop on data protection, continuity and recovery strategies; and </w:t>
      </w:r>
      <w:r w:rsidRPr="002E3ABF">
        <w:rPr>
          <w:rFonts w:asciiTheme="majorBidi" w:hAnsiTheme="majorBidi" w:cstheme="majorBidi"/>
          <w:b/>
          <w:sz w:val="24"/>
          <w:szCs w:val="24"/>
        </w:rPr>
        <w:t>calls upon</w:t>
      </w:r>
      <w:r w:rsidRPr="002E3ABF">
        <w:rPr>
          <w:rFonts w:asciiTheme="majorBidi" w:hAnsiTheme="majorBidi" w:cstheme="majorBidi"/>
          <w:bCs/>
          <w:sz w:val="24"/>
          <w:szCs w:val="24"/>
        </w:rPr>
        <w:t xml:space="preserve"> Members and partners to cooperate in strengthening the resilience of NSSs.</w:t>
      </w:r>
      <w:r w:rsidRPr="002E3ABF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64E498A4" w14:textId="7EAB23C3" w:rsidR="00EA5DD4" w:rsidRPr="00710ACA" w:rsidRDefault="00EA5DD4" w:rsidP="00EA5DD4">
      <w:pPr>
        <w:pStyle w:val="ListParagraph"/>
        <w:numPr>
          <w:ilvl w:val="0"/>
          <w:numId w:val="1"/>
        </w:numPr>
        <w:spacing w:before="120" w:after="240"/>
        <w:ind w:left="900" w:hanging="63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710AC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Expresses </w:t>
      </w:r>
      <w:r w:rsidRPr="00710ACA">
        <w:rPr>
          <w:rFonts w:asciiTheme="majorBidi" w:hAnsiTheme="majorBidi" w:cstheme="majorBidi"/>
          <w:iCs/>
          <w:sz w:val="24"/>
          <w:szCs w:val="24"/>
        </w:rPr>
        <w:t>its thanks</w:t>
      </w:r>
      <w:r w:rsidRPr="00710AC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>to the Bureau Members of the 13</w:t>
      </w:r>
      <w:r w:rsidRPr="00710ACA">
        <w:rPr>
          <w:rFonts w:asciiTheme="majorBidi" w:hAnsiTheme="majorBidi" w:cstheme="majorBidi"/>
          <w:iCs/>
          <w:sz w:val="24"/>
          <w:szCs w:val="24"/>
        </w:rPr>
        <w:t xml:space="preserve">th Session (composed of </w:t>
      </w:r>
      <w:r>
        <w:rPr>
          <w:rFonts w:asciiTheme="majorBidi" w:hAnsiTheme="majorBidi" w:cstheme="majorBidi"/>
          <w:iCs/>
          <w:sz w:val="24"/>
          <w:szCs w:val="24"/>
        </w:rPr>
        <w:t>Oman</w:t>
      </w:r>
      <w:r w:rsidRPr="00710ACA">
        <w:rPr>
          <w:rFonts w:asciiTheme="majorBidi" w:hAnsiTheme="majorBidi" w:cstheme="majorBidi"/>
          <w:iCs/>
          <w:sz w:val="24"/>
          <w:szCs w:val="24"/>
        </w:rPr>
        <w:t xml:space="preserve"> as Chair, and </w:t>
      </w:r>
      <w:r>
        <w:rPr>
          <w:rFonts w:asciiTheme="majorBidi" w:hAnsiTheme="majorBidi" w:cstheme="majorBidi"/>
          <w:iCs/>
          <w:sz w:val="24"/>
          <w:szCs w:val="24"/>
        </w:rPr>
        <w:t>Azerbaijan</w:t>
      </w:r>
      <w:r w:rsidRPr="00710ACA">
        <w:rPr>
          <w:rFonts w:asciiTheme="majorBidi" w:hAnsiTheme="majorBidi" w:cstheme="majorBidi"/>
          <w:iCs/>
          <w:sz w:val="24"/>
          <w:szCs w:val="24"/>
        </w:rPr>
        <w:t xml:space="preserve"> and </w:t>
      </w:r>
      <w:r>
        <w:rPr>
          <w:rFonts w:asciiTheme="majorBidi" w:hAnsiTheme="majorBidi" w:cstheme="majorBidi"/>
          <w:iCs/>
          <w:sz w:val="24"/>
          <w:szCs w:val="24"/>
        </w:rPr>
        <w:t>Senegal</w:t>
      </w:r>
      <w:r w:rsidRPr="00710ACA">
        <w:rPr>
          <w:rFonts w:asciiTheme="majorBidi" w:hAnsiTheme="majorBidi" w:cstheme="majorBidi"/>
          <w:iCs/>
          <w:sz w:val="24"/>
          <w:szCs w:val="24"/>
        </w:rPr>
        <w:t xml:space="preserve"> as Vice-Chairs);</w:t>
      </w:r>
      <w:r w:rsidRPr="00710AC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10ACA">
        <w:rPr>
          <w:rFonts w:asciiTheme="majorBidi" w:hAnsiTheme="majorBidi" w:cstheme="majorBidi"/>
          <w:bCs/>
          <w:sz w:val="24"/>
          <w:szCs w:val="24"/>
        </w:rPr>
        <w:t xml:space="preserve">and </w:t>
      </w:r>
      <w:r w:rsidRPr="00710ACA">
        <w:rPr>
          <w:rFonts w:asciiTheme="majorBidi" w:hAnsiTheme="majorBidi" w:cstheme="majorBidi"/>
          <w:b/>
          <w:sz w:val="24"/>
          <w:szCs w:val="24"/>
        </w:rPr>
        <w:t xml:space="preserve">congratulates </w:t>
      </w:r>
      <w:r w:rsidRPr="00710ACA">
        <w:rPr>
          <w:rFonts w:asciiTheme="majorBidi" w:hAnsiTheme="majorBidi" w:cstheme="majorBidi"/>
          <w:sz w:val="24"/>
          <w:szCs w:val="24"/>
        </w:rPr>
        <w:t>the current Bureau Members of the 1</w:t>
      </w:r>
      <w:r>
        <w:rPr>
          <w:rFonts w:asciiTheme="majorBidi" w:hAnsiTheme="majorBidi" w:cstheme="majorBidi"/>
          <w:sz w:val="24"/>
          <w:szCs w:val="24"/>
        </w:rPr>
        <w:t>4</w:t>
      </w:r>
      <w:r w:rsidRPr="00710ACA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710ACA">
        <w:rPr>
          <w:rFonts w:asciiTheme="majorBidi" w:hAnsiTheme="majorBidi" w:cstheme="majorBidi"/>
          <w:sz w:val="24"/>
          <w:szCs w:val="24"/>
        </w:rPr>
        <w:t xml:space="preserve"> Session of the OIC-</w:t>
      </w:r>
      <w:proofErr w:type="spellStart"/>
      <w:r w:rsidRPr="00710ACA">
        <w:rPr>
          <w:rFonts w:asciiTheme="majorBidi" w:hAnsiTheme="majorBidi" w:cstheme="majorBidi"/>
          <w:sz w:val="24"/>
          <w:szCs w:val="24"/>
        </w:rPr>
        <w:t>StatCom</w:t>
      </w:r>
      <w:proofErr w:type="spellEnd"/>
      <w:r w:rsidRPr="00710ACA">
        <w:rPr>
          <w:rFonts w:asciiTheme="majorBidi" w:hAnsiTheme="majorBidi" w:cstheme="majorBidi"/>
          <w:sz w:val="24"/>
          <w:szCs w:val="24"/>
        </w:rPr>
        <w:t xml:space="preserve">, composed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Türkiye</w:t>
      </w:r>
      <w:proofErr w:type="spellEnd"/>
      <w:r w:rsidRPr="00710A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10ACA">
        <w:rPr>
          <w:rFonts w:asciiTheme="majorBidi" w:hAnsiTheme="majorBidi" w:cstheme="majorBidi"/>
          <w:sz w:val="24"/>
          <w:szCs w:val="24"/>
        </w:rPr>
        <w:t xml:space="preserve">as Chair; and </w:t>
      </w:r>
      <w:r>
        <w:rPr>
          <w:rFonts w:asciiTheme="majorBidi" w:hAnsiTheme="majorBidi" w:cstheme="majorBidi"/>
          <w:b/>
          <w:bCs/>
          <w:sz w:val="24"/>
          <w:szCs w:val="24"/>
        </w:rPr>
        <w:t>Guinea</w:t>
      </w:r>
      <w:r w:rsidRPr="00710A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47A1A">
        <w:rPr>
          <w:rFonts w:asciiTheme="majorBidi" w:hAnsiTheme="majorBidi" w:cstheme="majorBidi"/>
          <w:bCs/>
          <w:sz w:val="24"/>
          <w:szCs w:val="24"/>
        </w:rPr>
        <w:t>and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Egypt </w:t>
      </w:r>
      <w:r w:rsidRPr="00710ACA">
        <w:rPr>
          <w:rFonts w:asciiTheme="majorBidi" w:hAnsiTheme="majorBidi" w:cstheme="majorBidi"/>
          <w:sz w:val="24"/>
          <w:szCs w:val="24"/>
        </w:rPr>
        <w:t xml:space="preserve">as Vice-Chairs, as well as </w:t>
      </w:r>
      <w:r w:rsidRPr="00710ACA">
        <w:rPr>
          <w:rFonts w:asciiTheme="majorBidi" w:hAnsiTheme="majorBidi" w:cstheme="majorBidi"/>
          <w:b/>
          <w:bCs/>
          <w:sz w:val="24"/>
          <w:szCs w:val="24"/>
        </w:rPr>
        <w:t>Palestine</w:t>
      </w:r>
      <w:r w:rsidRPr="00710ACA">
        <w:rPr>
          <w:rFonts w:asciiTheme="majorBidi" w:hAnsiTheme="majorBidi" w:cstheme="majorBidi"/>
          <w:sz w:val="24"/>
          <w:szCs w:val="24"/>
        </w:rPr>
        <w:t xml:space="preserve"> as Permanent Vice-Chair, for their valuable contributions and effective management of both sessions;</w:t>
      </w:r>
    </w:p>
    <w:p w14:paraId="7AB44619" w14:textId="2B75FB95" w:rsidR="002E3ABF" w:rsidRPr="002E3ABF" w:rsidRDefault="008A636C" w:rsidP="008A636C">
      <w:pPr>
        <w:numPr>
          <w:ilvl w:val="0"/>
          <w:numId w:val="1"/>
        </w:numPr>
        <w:spacing w:before="120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Welcomes</w:t>
      </w:r>
      <w:r w:rsidRPr="00047A1A">
        <w:rPr>
          <w:rFonts w:asciiTheme="majorBidi" w:hAnsiTheme="majorBidi" w:cstheme="majorBidi"/>
          <w:sz w:val="24"/>
          <w:szCs w:val="24"/>
        </w:rPr>
        <w:t xml:space="preserve"> the proposal of Kingdom of Saudi Arabia</w:t>
      </w:r>
      <w:r>
        <w:rPr>
          <w:rFonts w:asciiTheme="majorBidi" w:hAnsiTheme="majorBidi" w:cstheme="majorBidi"/>
          <w:bCs/>
          <w:sz w:val="24"/>
          <w:szCs w:val="24"/>
        </w:rPr>
        <w:t xml:space="preserve"> to host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>15</w:t>
      </w:r>
      <w:r w:rsidR="002E3ABF" w:rsidRPr="00047A1A">
        <w:rPr>
          <w:rFonts w:asciiTheme="majorBidi" w:hAnsiTheme="majorBidi" w:cstheme="majorBidi"/>
          <w:bCs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>Session of the OIC-</w:t>
      </w:r>
      <w:proofErr w:type="spellStart"/>
      <w:r w:rsidR="002E3ABF" w:rsidRPr="002E3ABF">
        <w:rPr>
          <w:rFonts w:asciiTheme="majorBidi" w:hAnsiTheme="majorBidi" w:cstheme="majorBidi"/>
          <w:bCs/>
          <w:sz w:val="24"/>
          <w:szCs w:val="24"/>
        </w:rPr>
        <w:t>StatCom</w:t>
      </w:r>
      <w:proofErr w:type="spellEnd"/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 in </w:t>
      </w:r>
      <w:r>
        <w:rPr>
          <w:rFonts w:asciiTheme="majorBidi" w:hAnsiTheme="majorBidi" w:cstheme="majorBidi"/>
          <w:bCs/>
          <w:sz w:val="24"/>
          <w:szCs w:val="24"/>
        </w:rPr>
        <w:t xml:space="preserve">September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2026 in </w:t>
      </w:r>
      <w:r>
        <w:rPr>
          <w:rFonts w:asciiTheme="majorBidi" w:hAnsiTheme="majorBidi" w:cstheme="majorBidi"/>
          <w:bCs/>
          <w:sz w:val="24"/>
          <w:szCs w:val="24"/>
        </w:rPr>
        <w:t>Jeddah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, and </w:t>
      </w:r>
      <w:r w:rsidR="002E3ABF" w:rsidRPr="002E3ABF">
        <w:rPr>
          <w:rFonts w:asciiTheme="majorBidi" w:hAnsiTheme="majorBidi" w:cstheme="majorBidi"/>
          <w:b/>
          <w:sz w:val="24"/>
          <w:szCs w:val="24"/>
        </w:rPr>
        <w:t xml:space="preserve">requests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>the Secretariat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to take the necessary actions, including </w:t>
      </w:r>
      <w:r>
        <w:rPr>
          <w:rFonts w:asciiTheme="majorBidi" w:hAnsiTheme="majorBidi" w:cstheme="majorBidi"/>
          <w:bCs/>
          <w:sz w:val="24"/>
          <w:szCs w:val="24"/>
        </w:rPr>
        <w:t xml:space="preserve">signing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 xml:space="preserve">an Organisational and Technical Arrangements (OTA) Agreement with </w:t>
      </w:r>
      <w:r>
        <w:rPr>
          <w:rFonts w:asciiTheme="majorBidi" w:hAnsiTheme="majorBidi" w:cstheme="majorBidi"/>
          <w:bCs/>
          <w:sz w:val="24"/>
          <w:szCs w:val="24"/>
        </w:rPr>
        <w:t xml:space="preserve">General Authority for Statistics of Kingdom of Saudi Arabia </w:t>
      </w:r>
      <w:r w:rsidR="002E3ABF" w:rsidRPr="002E3ABF">
        <w:rPr>
          <w:rFonts w:asciiTheme="majorBidi" w:hAnsiTheme="majorBidi" w:cstheme="majorBidi"/>
          <w:bCs/>
          <w:sz w:val="24"/>
          <w:szCs w:val="24"/>
        </w:rPr>
        <w:t>for an efficient organisation of the Session.</w:t>
      </w:r>
    </w:p>
    <w:p w14:paraId="54C6EE40" w14:textId="5F4DF80F" w:rsidR="00250C91" w:rsidRPr="008C122E" w:rsidRDefault="00F453BB" w:rsidP="00AD230C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ACA"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sectPr w:rsidR="00250C91" w:rsidRPr="008C122E" w:rsidSect="000F67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135" w:left="1440" w:header="562" w:footer="9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FB74C" w14:textId="77777777" w:rsidR="007222A2" w:rsidRDefault="007222A2" w:rsidP="0014560F">
      <w:pPr>
        <w:spacing w:after="0" w:line="240" w:lineRule="auto"/>
      </w:pPr>
      <w:r>
        <w:separator/>
      </w:r>
    </w:p>
  </w:endnote>
  <w:endnote w:type="continuationSeparator" w:id="0">
    <w:p w14:paraId="69F86204" w14:textId="77777777" w:rsidR="007222A2" w:rsidRDefault="007222A2" w:rsidP="0014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12C70" w14:textId="77777777" w:rsidR="002E3ABF" w:rsidRDefault="002E3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420236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D21FC3" w14:textId="48A567D3" w:rsidR="0007068B" w:rsidRPr="0007068B" w:rsidRDefault="0007068B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07068B">
              <w:rPr>
                <w:rFonts w:ascii="Times New Roman" w:hAnsi="Times New Roman" w:cs="Times New Roman"/>
              </w:rPr>
              <w:t xml:space="preserve">Page </w:t>
            </w:r>
            <w:r w:rsidRPr="000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068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55440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0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7068B">
              <w:rPr>
                <w:rFonts w:ascii="Times New Roman" w:hAnsi="Times New Roman" w:cs="Times New Roman"/>
              </w:rPr>
              <w:t xml:space="preserve"> of </w:t>
            </w:r>
            <w:r w:rsidRPr="000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068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55440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0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F2DB93" w14:textId="2E22382F" w:rsidR="00DF375B" w:rsidRPr="00413A39" w:rsidRDefault="00DF375B" w:rsidP="00E63146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B943" w14:textId="16ABD8FC" w:rsidR="00DF375B" w:rsidRPr="00413A39" w:rsidRDefault="00DF375B" w:rsidP="00413A39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</w:rPr>
    </w:pPr>
    <w:r w:rsidRPr="00413A39">
      <w:rPr>
        <w:rFonts w:ascii="Times New Roman" w:hAnsi="Times New Roman" w:cs="Times New Roman"/>
      </w:rPr>
      <w:fldChar w:fldCharType="begin"/>
    </w:r>
    <w:r w:rsidRPr="00413A39">
      <w:rPr>
        <w:rFonts w:ascii="Times New Roman" w:hAnsi="Times New Roman" w:cs="Times New Roman"/>
      </w:rPr>
      <w:instrText xml:space="preserve"> PAGE   \* MERGEFORMAT </w:instrText>
    </w:r>
    <w:r w:rsidRPr="00413A39">
      <w:rPr>
        <w:rFonts w:ascii="Times New Roman" w:hAnsi="Times New Roman" w:cs="Times New Roman"/>
      </w:rPr>
      <w:fldChar w:fldCharType="separate"/>
    </w:r>
    <w:r w:rsidR="00832B15">
      <w:rPr>
        <w:rFonts w:ascii="Times New Roman" w:hAnsi="Times New Roman" w:cs="Times New Roman"/>
        <w:noProof/>
      </w:rPr>
      <w:t>1</w:t>
    </w:r>
    <w:r w:rsidRPr="00413A39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882E6" w14:textId="77777777" w:rsidR="007222A2" w:rsidRDefault="007222A2" w:rsidP="0014560F">
      <w:pPr>
        <w:spacing w:after="0" w:line="240" w:lineRule="auto"/>
      </w:pPr>
      <w:r>
        <w:separator/>
      </w:r>
    </w:p>
  </w:footnote>
  <w:footnote w:type="continuationSeparator" w:id="0">
    <w:p w14:paraId="3CFFB6BA" w14:textId="77777777" w:rsidR="007222A2" w:rsidRDefault="007222A2" w:rsidP="0014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0BA6D" w14:textId="77777777" w:rsidR="002E3ABF" w:rsidRDefault="002E3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77CFE" w14:textId="52451B47" w:rsidR="00DB0DE7" w:rsidRPr="00940A4B" w:rsidRDefault="00743FB2" w:rsidP="002A3B09">
    <w:pPr>
      <w:pStyle w:val="NoSpacing"/>
      <w:spacing w:line="360" w:lineRule="auto"/>
      <w:jc w:val="both"/>
      <w:rPr>
        <w:rFonts w:ascii="Times New Roman" w:hAnsi="Times New Roman" w:cs="Times New Roman"/>
        <w:b/>
        <w:sz w:val="32"/>
        <w:szCs w:val="32"/>
      </w:rPr>
    </w:pPr>
    <w:bookmarkStart w:id="4" w:name="OLE_LINK3"/>
    <w:r w:rsidRPr="00940A4B">
      <w:rPr>
        <w:noProof/>
        <w:lang w:val="en-US"/>
      </w:rPr>
      <w:drawing>
        <wp:inline distT="0" distB="0" distL="0" distR="0" wp14:anchorId="737BEF02" wp14:editId="18CF412E">
          <wp:extent cx="5724000" cy="754227"/>
          <wp:effectExtent l="0" t="0" r="0" b="825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0" cy="754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16C99" w14:textId="43FAD8A0" w:rsidR="00495576" w:rsidRPr="008C122E" w:rsidRDefault="00495576" w:rsidP="0053768A">
    <w:pPr>
      <w:pStyle w:val="NoSpacing"/>
      <w:rPr>
        <w:rFonts w:ascii="Times New Roman" w:hAnsi="Times New Roman" w:cs="Times New Roman"/>
        <w:b/>
      </w:rPr>
    </w:pPr>
    <w:r w:rsidRPr="008C122E">
      <w:rPr>
        <w:rFonts w:ascii="Times New Roman" w:hAnsi="Times New Roman" w:cs="Times New Roman"/>
        <w:b/>
      </w:rPr>
      <w:t>SESRIC/</w:t>
    </w:r>
    <w:r w:rsidR="00AE6D23">
      <w:rPr>
        <w:rFonts w:ascii="Times New Roman" w:hAnsi="Times New Roman" w:cs="Times New Roman"/>
        <w:b/>
      </w:rPr>
      <w:t>OIC</w:t>
    </w:r>
    <w:r w:rsidRPr="008C122E">
      <w:rPr>
        <w:rFonts w:ascii="Times New Roman" w:hAnsi="Times New Roman" w:cs="Times New Roman"/>
        <w:b/>
      </w:rPr>
      <w:t>STATCOM</w:t>
    </w:r>
    <w:r w:rsidR="0053768A">
      <w:rPr>
        <w:rFonts w:ascii="Times New Roman" w:hAnsi="Times New Roman" w:cs="Times New Roman"/>
        <w:b/>
      </w:rPr>
      <w:t>-14/2025</w:t>
    </w:r>
    <w:r w:rsidRPr="008C122E">
      <w:rPr>
        <w:rFonts w:ascii="Times New Roman" w:hAnsi="Times New Roman" w:cs="Times New Roman"/>
        <w:b/>
      </w:rPr>
      <w:t>/RES/</w:t>
    </w:r>
    <w:r w:rsidR="0053768A">
      <w:rPr>
        <w:rFonts w:ascii="Times New Roman" w:hAnsi="Times New Roman" w:cs="Times New Roman"/>
        <w:b/>
      </w:rPr>
      <w:t>DRAFT</w:t>
    </w:r>
    <w:r w:rsidR="008C122E">
      <w:rPr>
        <w:rFonts w:ascii="Times New Roman" w:hAnsi="Times New Roman" w:cs="Times New Roman"/>
        <w:b/>
      </w:rPr>
      <w:tab/>
    </w:r>
    <w:r w:rsidR="008C122E">
      <w:rPr>
        <w:rFonts w:ascii="Times New Roman" w:hAnsi="Times New Roman" w:cs="Times New Roman"/>
        <w:b/>
      </w:rPr>
      <w:tab/>
    </w:r>
    <w:r w:rsidR="008C122E">
      <w:rPr>
        <w:rFonts w:ascii="Times New Roman" w:hAnsi="Times New Roman" w:cs="Times New Roman"/>
        <w:b/>
      </w:rPr>
      <w:tab/>
    </w:r>
    <w:r w:rsidR="008C122E">
      <w:rPr>
        <w:rFonts w:ascii="Times New Roman" w:hAnsi="Times New Roman" w:cs="Times New Roman"/>
        <w:b/>
      </w:rPr>
      <w:tab/>
      <w:t xml:space="preserve">   </w:t>
    </w:r>
    <w:r w:rsidRPr="008C122E">
      <w:rPr>
        <w:rFonts w:ascii="Times New Roman" w:hAnsi="Times New Roman" w:cs="Times New Roman"/>
        <w:b/>
      </w:rPr>
      <w:t xml:space="preserve">Original: English </w:t>
    </w:r>
  </w:p>
  <w:p w14:paraId="3DA56E75" w14:textId="2B7F785C" w:rsidR="00495576" w:rsidRPr="008C122E" w:rsidRDefault="00495576" w:rsidP="008C122E">
    <w:pPr>
      <w:pStyle w:val="NoSpacing"/>
      <w:rPr>
        <w:rFonts w:ascii="Times New Roman" w:hAnsi="Times New Roman" w:cs="Times New Roman"/>
        <w:bCs/>
        <w:i/>
        <w:iCs/>
      </w:rPr>
    </w:pPr>
  </w:p>
  <w:p w14:paraId="0F10804F" w14:textId="59FAFA66" w:rsidR="00F52B08" w:rsidRDefault="00DB0DE7" w:rsidP="00B27F74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 w:rsidRPr="00DA445E">
      <w:rPr>
        <w:rFonts w:ascii="Times New Roman" w:hAnsi="Times New Roman" w:cs="Times New Roman"/>
        <w:b/>
        <w:sz w:val="24"/>
        <w:szCs w:val="24"/>
      </w:rPr>
      <w:t>RESOLUTION</w:t>
    </w:r>
    <w:bookmarkEnd w:id="4"/>
    <w:r w:rsidR="00DA445E" w:rsidRPr="00DA445E">
      <w:rPr>
        <w:rFonts w:ascii="Times New Roman" w:hAnsi="Times New Roman" w:cs="Times New Roman"/>
        <w:b/>
        <w:sz w:val="24"/>
        <w:szCs w:val="24"/>
      </w:rPr>
      <w:t xml:space="preserve"> </w:t>
    </w:r>
  </w:p>
  <w:p w14:paraId="4BAA64B6" w14:textId="0CC6C9BC" w:rsidR="00DF375B" w:rsidRPr="00DA445E" w:rsidRDefault="00DA445E" w:rsidP="0053768A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 w:rsidRPr="00DA445E">
      <w:rPr>
        <w:rFonts w:ascii="Times New Roman" w:hAnsi="Times New Roman" w:cs="Times New Roman"/>
        <w:b/>
        <w:sz w:val="24"/>
        <w:szCs w:val="24"/>
      </w:rPr>
      <w:t>ADOPTED BY THE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53768A">
      <w:rPr>
        <w:rFonts w:ascii="Times New Roman" w:hAnsi="Times New Roman" w:cs="Times New Roman"/>
        <w:b/>
        <w:sz w:val="24"/>
        <w:szCs w:val="24"/>
      </w:rPr>
      <w:t>14</w:t>
    </w:r>
    <w:r w:rsidR="00B27F74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771CB6">
      <w:rPr>
        <w:rFonts w:ascii="Times New Roman" w:hAnsi="Times New Roman" w:cs="Times New Roman"/>
        <w:b/>
        <w:sz w:val="24"/>
        <w:szCs w:val="24"/>
      </w:rPr>
      <w:t xml:space="preserve"> </w:t>
    </w:r>
    <w:r w:rsidR="00771CB6" w:rsidRPr="00DA445E">
      <w:rPr>
        <w:rFonts w:ascii="Times New Roman" w:hAnsi="Times New Roman" w:cs="Times New Roman"/>
        <w:b/>
        <w:sz w:val="24"/>
        <w:szCs w:val="24"/>
      </w:rPr>
      <w:t>SESSION</w:t>
    </w:r>
    <w:r w:rsidRPr="00DA445E">
      <w:rPr>
        <w:rFonts w:ascii="Times New Roman" w:hAnsi="Times New Roman" w:cs="Times New Roman"/>
        <w:b/>
        <w:sz w:val="24"/>
        <w:szCs w:val="24"/>
      </w:rPr>
      <w:t xml:space="preserve"> OF </w:t>
    </w:r>
    <w:r w:rsidR="00495576">
      <w:rPr>
        <w:rFonts w:ascii="Times New Roman" w:hAnsi="Times New Roman" w:cs="Times New Roman"/>
        <w:b/>
        <w:sz w:val="24"/>
        <w:szCs w:val="24"/>
      </w:rPr>
      <w:t xml:space="preserve">THE </w:t>
    </w:r>
    <w:r w:rsidRPr="00DA445E">
      <w:rPr>
        <w:rFonts w:ascii="Times New Roman" w:hAnsi="Times New Roman" w:cs="Times New Roman"/>
        <w:b/>
        <w:sz w:val="24"/>
        <w:szCs w:val="24"/>
      </w:rPr>
      <w:t>OIC-STATCOM</w:t>
    </w:r>
  </w:p>
  <w:p w14:paraId="1B65B182" w14:textId="275778EF" w:rsidR="00DA445E" w:rsidRPr="00173674" w:rsidRDefault="00DA445E" w:rsidP="00CD730E">
    <w:pPr>
      <w:pStyle w:val="NoSpacing"/>
      <w:jc w:val="center"/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</w:pPr>
  </w:p>
  <w:p w14:paraId="6C60077D" w14:textId="233DC41D" w:rsidR="009434C3" w:rsidRPr="00173674" w:rsidRDefault="000003E1" w:rsidP="000003E1">
    <w:pPr>
      <w:pStyle w:val="NoSpacing"/>
      <w:jc w:val="center"/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ANKARA</w:t>
    </w:r>
    <w:r w:rsidR="008072E8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 xml:space="preserve">, </w:t>
    </w:r>
    <w:r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REPUBLIC OF TÜRKİYE</w:t>
    </w:r>
  </w:p>
  <w:p w14:paraId="76A35CD9" w14:textId="73EE9174" w:rsidR="00DA445E" w:rsidRPr="00173674" w:rsidRDefault="0053768A" w:rsidP="0053768A">
    <w:pPr>
      <w:pStyle w:val="NoSpacing"/>
      <w:jc w:val="center"/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1-3 OCTOBER 2025</w:t>
    </w:r>
    <w:r w:rsidR="00CE672B" w:rsidRPr="00173674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 xml:space="preserve"> </w:t>
    </w:r>
    <w:r w:rsidR="007A6A45" w:rsidRPr="00173674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(</w:t>
    </w:r>
    <w:r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9</w:t>
    </w:r>
    <w:r w:rsidR="000003E1" w:rsidRPr="000003E1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-1</w:t>
    </w:r>
    <w:r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1</w:t>
    </w:r>
    <w:r w:rsidR="000003E1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 xml:space="preserve"> </w:t>
    </w:r>
    <w:r w:rsidRPr="0053768A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 xml:space="preserve">RABI AL THANI </w:t>
    </w:r>
    <w:r w:rsidR="000003E1" w:rsidRPr="000003E1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144</w:t>
    </w:r>
    <w:r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7</w:t>
    </w:r>
    <w:r w:rsidR="000003E1" w:rsidRPr="000003E1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 xml:space="preserve"> H</w:t>
    </w:r>
    <w:r w:rsidR="00947701" w:rsidRPr="00173674">
      <w:rPr>
        <w:rFonts w:ascii="Times New Roman" w:hAnsi="Times New Roman" w:cs="Times New Roman"/>
        <w:bCs/>
        <w:color w:val="808080" w:themeColor="background1" w:themeShade="80"/>
        <w:sz w:val="24"/>
        <w:szCs w:val="24"/>
      </w:rPr>
      <w:t>)</w:t>
    </w:r>
  </w:p>
  <w:p w14:paraId="7D4D26DA" w14:textId="77777777" w:rsidR="00DB06FC" w:rsidRPr="00CE672B" w:rsidRDefault="00DB06FC" w:rsidP="00CD730E">
    <w:pPr>
      <w:pStyle w:val="NoSpacing"/>
      <w:jc w:val="center"/>
      <w:rPr>
        <w:rFonts w:ascii="Times New Roman" w:hAnsi="Times New Roman" w:cs="Times New Roman"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1EBF3" w14:textId="594CB94C" w:rsidR="0061518A" w:rsidRDefault="0061518A" w:rsidP="0061518A">
    <w:pPr>
      <w:pStyle w:val="NoSpacing"/>
    </w:pPr>
    <w:bookmarkStart w:id="5" w:name="OLE_LINK11"/>
    <w:bookmarkStart w:id="6" w:name="OLE_LINK12"/>
    <w:bookmarkStart w:id="7" w:name="_Hlk512926932"/>
  </w:p>
  <w:p w14:paraId="16FA8F87" w14:textId="77777777" w:rsidR="00DB0DE7" w:rsidRDefault="00DB0DE7" w:rsidP="0061518A">
    <w:pPr>
      <w:pStyle w:val="NoSpacing"/>
    </w:pPr>
  </w:p>
  <w:p w14:paraId="2560F501" w14:textId="13A3DB5E" w:rsidR="00DB0DE7" w:rsidRPr="0061518A" w:rsidRDefault="00DB0DE7" w:rsidP="0061518A">
    <w:pPr>
      <w:pStyle w:val="NoSpacing"/>
    </w:pPr>
    <w:r>
      <w:br/>
    </w:r>
  </w:p>
  <w:p w14:paraId="4C9AD41B" w14:textId="6A560CB2" w:rsidR="00DF375B" w:rsidRPr="00876CC6" w:rsidRDefault="00DF375B" w:rsidP="00C96639">
    <w:pPr>
      <w:pStyle w:val="Heading2"/>
      <w:spacing w:before="0" w:after="120" w:line="288" w:lineRule="auto"/>
      <w:jc w:val="center"/>
      <w:rPr>
        <w:rFonts w:ascii="Times New Roman" w:hAnsi="Times New Roman" w:cs="Times New Roman"/>
        <w:sz w:val="32"/>
        <w:szCs w:val="32"/>
      </w:rPr>
    </w:pPr>
    <w:r w:rsidRPr="00876CC6">
      <w:rPr>
        <w:rFonts w:ascii="Times New Roman" w:hAnsi="Times New Roman" w:cs="Times New Roman"/>
        <w:sz w:val="32"/>
        <w:szCs w:val="32"/>
      </w:rPr>
      <w:t>Seventh Session of OIC Statistical Commission</w:t>
    </w:r>
  </w:p>
  <w:p w14:paraId="6AC7EF91" w14:textId="77777777" w:rsidR="00DF375B" w:rsidRPr="00876CC6" w:rsidRDefault="00DF375B" w:rsidP="00C96639">
    <w:pPr>
      <w:pStyle w:val="Heading2"/>
      <w:spacing w:before="0" w:after="120" w:line="288" w:lineRule="auto"/>
      <w:jc w:val="center"/>
      <w:rPr>
        <w:rFonts w:ascii="Times New Roman" w:hAnsi="Times New Roman" w:cs="Times New Roman"/>
        <w:sz w:val="32"/>
        <w:szCs w:val="32"/>
      </w:rPr>
    </w:pPr>
    <w:r w:rsidRPr="00876CC6">
      <w:rPr>
        <w:rFonts w:ascii="Times New Roman" w:hAnsi="Times New Roman" w:cs="Times New Roman"/>
        <w:sz w:val="32"/>
        <w:szCs w:val="32"/>
      </w:rPr>
      <w:t>2-3 May 2018, Ankara – Turkey</w:t>
    </w:r>
  </w:p>
  <w:p w14:paraId="5CDF3BA5" w14:textId="08538F1E" w:rsidR="00DF375B" w:rsidRPr="00DB0DE7" w:rsidRDefault="00DF375B" w:rsidP="00DB0DE7">
    <w:pPr>
      <w:pStyle w:val="Heading2"/>
      <w:spacing w:before="0" w:after="120" w:line="288" w:lineRule="auto"/>
      <w:jc w:val="center"/>
      <w:rPr>
        <w:rFonts w:ascii="Times New Roman" w:hAnsi="Times New Roman" w:cs="Times New Roman"/>
        <w:sz w:val="32"/>
        <w:szCs w:val="32"/>
      </w:rPr>
    </w:pPr>
    <w:r w:rsidRPr="00876CC6">
      <w:rPr>
        <w:rFonts w:ascii="Times New Roman" w:hAnsi="Times New Roman" w:cs="Times New Roman"/>
        <w:sz w:val="32"/>
        <w:szCs w:val="32"/>
      </w:rPr>
      <w:t>DRAFT RESOLUTIONS</w:t>
    </w:r>
    <w:r w:rsidRPr="00D76EB2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7216" behindDoc="0" locked="0" layoutInCell="1" allowOverlap="1" wp14:anchorId="239C9895" wp14:editId="173B8D4D">
          <wp:simplePos x="717550" y="361950"/>
          <wp:positionH relativeFrom="page">
            <wp:align>left</wp:align>
          </wp:positionH>
          <wp:positionV relativeFrom="page">
            <wp:align>top</wp:align>
          </wp:positionV>
          <wp:extent cx="7812000" cy="1031505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3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084"/>
    <w:multiLevelType w:val="hybridMultilevel"/>
    <w:tmpl w:val="A0CAE3B0"/>
    <w:lvl w:ilvl="0" w:tplc="564AEFF6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8B3"/>
    <w:multiLevelType w:val="hybridMultilevel"/>
    <w:tmpl w:val="75187FB6"/>
    <w:lvl w:ilvl="0" w:tplc="DD1650F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3A69C6"/>
    <w:multiLevelType w:val="multilevel"/>
    <w:tmpl w:val="5D74B1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83DE2"/>
    <w:multiLevelType w:val="hybridMultilevel"/>
    <w:tmpl w:val="5EEE29F2"/>
    <w:lvl w:ilvl="0" w:tplc="DD1650F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EB0892"/>
    <w:multiLevelType w:val="hybridMultilevel"/>
    <w:tmpl w:val="180602FE"/>
    <w:lvl w:ilvl="0" w:tplc="9544FE9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85BF6"/>
    <w:multiLevelType w:val="hybridMultilevel"/>
    <w:tmpl w:val="5CD8604E"/>
    <w:lvl w:ilvl="0" w:tplc="9544FE9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A6309"/>
    <w:multiLevelType w:val="multilevel"/>
    <w:tmpl w:val="5AAA82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E70CC"/>
    <w:multiLevelType w:val="hybridMultilevel"/>
    <w:tmpl w:val="6180D3FA"/>
    <w:lvl w:ilvl="0" w:tplc="8746EB04">
      <w:start w:val="1"/>
      <w:numFmt w:val="decimal"/>
      <w:lvlText w:val="%1."/>
      <w:lvlJc w:val="left"/>
      <w:pPr>
        <w:ind w:left="282" w:hanging="360"/>
      </w:pPr>
      <w:rPr>
        <w:rFonts w:hint="default"/>
        <w:b/>
      </w:rPr>
    </w:lvl>
    <w:lvl w:ilvl="1" w:tplc="D674CEEC">
      <w:start w:val="1"/>
      <w:numFmt w:val="lowerLetter"/>
      <w:lvlText w:val="%2)"/>
      <w:lvlJc w:val="left"/>
      <w:pPr>
        <w:ind w:left="1002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722" w:hanging="180"/>
      </w:pPr>
    </w:lvl>
    <w:lvl w:ilvl="3" w:tplc="0409000F" w:tentative="1">
      <w:start w:val="1"/>
      <w:numFmt w:val="decimal"/>
      <w:lvlText w:val="%4."/>
      <w:lvlJc w:val="left"/>
      <w:pPr>
        <w:ind w:left="2442" w:hanging="360"/>
      </w:pPr>
    </w:lvl>
    <w:lvl w:ilvl="4" w:tplc="04090019" w:tentative="1">
      <w:start w:val="1"/>
      <w:numFmt w:val="lowerLetter"/>
      <w:lvlText w:val="%5."/>
      <w:lvlJc w:val="left"/>
      <w:pPr>
        <w:ind w:left="3162" w:hanging="360"/>
      </w:pPr>
    </w:lvl>
    <w:lvl w:ilvl="5" w:tplc="0409001B" w:tentative="1">
      <w:start w:val="1"/>
      <w:numFmt w:val="lowerRoman"/>
      <w:lvlText w:val="%6."/>
      <w:lvlJc w:val="right"/>
      <w:pPr>
        <w:ind w:left="3882" w:hanging="180"/>
      </w:pPr>
    </w:lvl>
    <w:lvl w:ilvl="6" w:tplc="0409000F" w:tentative="1">
      <w:start w:val="1"/>
      <w:numFmt w:val="decimal"/>
      <w:lvlText w:val="%7."/>
      <w:lvlJc w:val="left"/>
      <w:pPr>
        <w:ind w:left="4602" w:hanging="360"/>
      </w:pPr>
    </w:lvl>
    <w:lvl w:ilvl="7" w:tplc="04090019" w:tentative="1">
      <w:start w:val="1"/>
      <w:numFmt w:val="lowerLetter"/>
      <w:lvlText w:val="%8."/>
      <w:lvlJc w:val="left"/>
      <w:pPr>
        <w:ind w:left="5322" w:hanging="360"/>
      </w:pPr>
    </w:lvl>
    <w:lvl w:ilvl="8" w:tplc="04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8" w15:restartNumberingAfterBreak="0">
    <w:nsid w:val="5D1A0A42"/>
    <w:multiLevelType w:val="hybridMultilevel"/>
    <w:tmpl w:val="5B58CCB8"/>
    <w:lvl w:ilvl="0" w:tplc="08090001">
      <w:start w:val="1"/>
      <w:numFmt w:val="bullet"/>
      <w:lvlText w:val=""/>
      <w:lvlJc w:val="left"/>
      <w:pPr>
        <w:ind w:left="304" w:hanging="360"/>
      </w:pPr>
      <w:rPr>
        <w:rFonts w:ascii="Symbol" w:hAnsi="Symbol" w:hint="default"/>
        <w:b/>
      </w:rPr>
    </w:lvl>
    <w:lvl w:ilvl="1" w:tplc="D674CEEC">
      <w:start w:val="1"/>
      <w:numFmt w:val="lowerLetter"/>
      <w:lvlText w:val="%2)"/>
      <w:lvlJc w:val="left"/>
      <w:pPr>
        <w:ind w:left="1024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</w:lvl>
    <w:lvl w:ilvl="3" w:tplc="0409000F" w:tentative="1">
      <w:start w:val="1"/>
      <w:numFmt w:val="decimal"/>
      <w:lvlText w:val="%4."/>
      <w:lvlJc w:val="left"/>
      <w:pPr>
        <w:ind w:left="2464" w:hanging="360"/>
      </w:p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</w:lvl>
    <w:lvl w:ilvl="6" w:tplc="0409000F" w:tentative="1">
      <w:start w:val="1"/>
      <w:numFmt w:val="decimal"/>
      <w:lvlText w:val="%7."/>
      <w:lvlJc w:val="left"/>
      <w:pPr>
        <w:ind w:left="4624" w:hanging="360"/>
      </w:p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9" w15:restartNumberingAfterBreak="0">
    <w:nsid w:val="730F4BDC"/>
    <w:multiLevelType w:val="hybridMultilevel"/>
    <w:tmpl w:val="6F9E6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03405"/>
    <w:multiLevelType w:val="hybridMultilevel"/>
    <w:tmpl w:val="55865048"/>
    <w:lvl w:ilvl="0" w:tplc="61AEAE46">
      <w:start w:val="1"/>
      <w:numFmt w:val="decimal"/>
      <w:lvlText w:val="%1."/>
      <w:lvlJc w:val="left"/>
      <w:pPr>
        <w:ind w:left="100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B74F0"/>
    <w:multiLevelType w:val="hybridMultilevel"/>
    <w:tmpl w:val="E63294F6"/>
    <w:lvl w:ilvl="0" w:tplc="3A02A6EE">
      <w:start w:val="1"/>
      <w:numFmt w:val="lowerLetter"/>
      <w:lvlText w:val="%1)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HAiNDA2MLCxNzQyUdpeDU4uLM/DyQAkODWgALkTO9LQAAAA=="/>
  </w:docVars>
  <w:rsids>
    <w:rsidRoot w:val="00030E7B"/>
    <w:rsid w:val="00000260"/>
    <w:rsid w:val="000003E1"/>
    <w:rsid w:val="000022DD"/>
    <w:rsid w:val="0000404C"/>
    <w:rsid w:val="00004F00"/>
    <w:rsid w:val="00005EDA"/>
    <w:rsid w:val="00006AD8"/>
    <w:rsid w:val="00007C8F"/>
    <w:rsid w:val="0001026F"/>
    <w:rsid w:val="00010CC6"/>
    <w:rsid w:val="00012BCA"/>
    <w:rsid w:val="000152E0"/>
    <w:rsid w:val="00021F99"/>
    <w:rsid w:val="0002267E"/>
    <w:rsid w:val="000237DA"/>
    <w:rsid w:val="00024987"/>
    <w:rsid w:val="00027161"/>
    <w:rsid w:val="00030E7B"/>
    <w:rsid w:val="00032516"/>
    <w:rsid w:val="00032CB0"/>
    <w:rsid w:val="0003336A"/>
    <w:rsid w:val="000357B3"/>
    <w:rsid w:val="00040B77"/>
    <w:rsid w:val="000421E7"/>
    <w:rsid w:val="00042A6B"/>
    <w:rsid w:val="00045A19"/>
    <w:rsid w:val="00045E9B"/>
    <w:rsid w:val="000465E4"/>
    <w:rsid w:val="0004734F"/>
    <w:rsid w:val="00047A1A"/>
    <w:rsid w:val="00052015"/>
    <w:rsid w:val="00055440"/>
    <w:rsid w:val="000564BF"/>
    <w:rsid w:val="00057BFD"/>
    <w:rsid w:val="00063066"/>
    <w:rsid w:val="00063384"/>
    <w:rsid w:val="00065567"/>
    <w:rsid w:val="00065B19"/>
    <w:rsid w:val="00065F62"/>
    <w:rsid w:val="0006631D"/>
    <w:rsid w:val="000677D0"/>
    <w:rsid w:val="0007068B"/>
    <w:rsid w:val="00074241"/>
    <w:rsid w:val="00075845"/>
    <w:rsid w:val="00076187"/>
    <w:rsid w:val="00080E79"/>
    <w:rsid w:val="00082A32"/>
    <w:rsid w:val="00083098"/>
    <w:rsid w:val="000844AA"/>
    <w:rsid w:val="000918A6"/>
    <w:rsid w:val="0009291D"/>
    <w:rsid w:val="000971F4"/>
    <w:rsid w:val="000A0044"/>
    <w:rsid w:val="000A1103"/>
    <w:rsid w:val="000A1E5D"/>
    <w:rsid w:val="000A4C7C"/>
    <w:rsid w:val="000A6618"/>
    <w:rsid w:val="000A7BFF"/>
    <w:rsid w:val="000B3004"/>
    <w:rsid w:val="000B39C8"/>
    <w:rsid w:val="000B6F38"/>
    <w:rsid w:val="000B7138"/>
    <w:rsid w:val="000C0DC3"/>
    <w:rsid w:val="000C6DBB"/>
    <w:rsid w:val="000C6E68"/>
    <w:rsid w:val="000C7CF2"/>
    <w:rsid w:val="000D1120"/>
    <w:rsid w:val="000D3B8F"/>
    <w:rsid w:val="000D4B90"/>
    <w:rsid w:val="000E0C32"/>
    <w:rsid w:val="000E3B11"/>
    <w:rsid w:val="000E50CA"/>
    <w:rsid w:val="000F4F8C"/>
    <w:rsid w:val="000F569B"/>
    <w:rsid w:val="000F5EBC"/>
    <w:rsid w:val="000F670D"/>
    <w:rsid w:val="000F7C99"/>
    <w:rsid w:val="00121569"/>
    <w:rsid w:val="00123606"/>
    <w:rsid w:val="00124E45"/>
    <w:rsid w:val="0012521D"/>
    <w:rsid w:val="00126C82"/>
    <w:rsid w:val="001333BC"/>
    <w:rsid w:val="00134421"/>
    <w:rsid w:val="00135850"/>
    <w:rsid w:val="00144571"/>
    <w:rsid w:val="0014560F"/>
    <w:rsid w:val="001461E8"/>
    <w:rsid w:val="00147519"/>
    <w:rsid w:val="00147F67"/>
    <w:rsid w:val="00154B67"/>
    <w:rsid w:val="00155E47"/>
    <w:rsid w:val="00157564"/>
    <w:rsid w:val="00157865"/>
    <w:rsid w:val="00161EF1"/>
    <w:rsid w:val="00163FB6"/>
    <w:rsid w:val="0016494F"/>
    <w:rsid w:val="001654B8"/>
    <w:rsid w:val="00166BEA"/>
    <w:rsid w:val="00173674"/>
    <w:rsid w:val="00175D29"/>
    <w:rsid w:val="00177C97"/>
    <w:rsid w:val="00180F00"/>
    <w:rsid w:val="00181949"/>
    <w:rsid w:val="0018446B"/>
    <w:rsid w:val="001923B0"/>
    <w:rsid w:val="0019608F"/>
    <w:rsid w:val="001A331C"/>
    <w:rsid w:val="001A36CD"/>
    <w:rsid w:val="001A414A"/>
    <w:rsid w:val="001A610B"/>
    <w:rsid w:val="001B31E6"/>
    <w:rsid w:val="001C29F6"/>
    <w:rsid w:val="001D0588"/>
    <w:rsid w:val="001D14F3"/>
    <w:rsid w:val="001D622B"/>
    <w:rsid w:val="001E2AB1"/>
    <w:rsid w:val="001E44BB"/>
    <w:rsid w:val="001E44FB"/>
    <w:rsid w:val="001E56C3"/>
    <w:rsid w:val="001E5AF9"/>
    <w:rsid w:val="001F2627"/>
    <w:rsid w:val="001F27CB"/>
    <w:rsid w:val="001F5BDA"/>
    <w:rsid w:val="001F6309"/>
    <w:rsid w:val="001F7BFD"/>
    <w:rsid w:val="0020518E"/>
    <w:rsid w:val="002145BC"/>
    <w:rsid w:val="0022137E"/>
    <w:rsid w:val="00224B29"/>
    <w:rsid w:val="002277FE"/>
    <w:rsid w:val="00232409"/>
    <w:rsid w:val="0023342C"/>
    <w:rsid w:val="00235675"/>
    <w:rsid w:val="002357FD"/>
    <w:rsid w:val="00235D99"/>
    <w:rsid w:val="00240D2B"/>
    <w:rsid w:val="00243AF5"/>
    <w:rsid w:val="002457ED"/>
    <w:rsid w:val="00246B9C"/>
    <w:rsid w:val="00250C7B"/>
    <w:rsid w:val="00250C91"/>
    <w:rsid w:val="002520AF"/>
    <w:rsid w:val="00256DE2"/>
    <w:rsid w:val="00257B3C"/>
    <w:rsid w:val="00260582"/>
    <w:rsid w:val="00260707"/>
    <w:rsid w:val="00264287"/>
    <w:rsid w:val="0026709D"/>
    <w:rsid w:val="00270DC7"/>
    <w:rsid w:val="00271F00"/>
    <w:rsid w:val="00274C7E"/>
    <w:rsid w:val="0027626E"/>
    <w:rsid w:val="00276E22"/>
    <w:rsid w:val="0028589D"/>
    <w:rsid w:val="00286FC4"/>
    <w:rsid w:val="0028745D"/>
    <w:rsid w:val="00292A79"/>
    <w:rsid w:val="002943EC"/>
    <w:rsid w:val="002947C2"/>
    <w:rsid w:val="002975F7"/>
    <w:rsid w:val="002A3B09"/>
    <w:rsid w:val="002A6945"/>
    <w:rsid w:val="002A76D2"/>
    <w:rsid w:val="002A7F5B"/>
    <w:rsid w:val="002B086A"/>
    <w:rsid w:val="002B0CCE"/>
    <w:rsid w:val="002B0FD9"/>
    <w:rsid w:val="002B2B29"/>
    <w:rsid w:val="002B58A6"/>
    <w:rsid w:val="002B5ADE"/>
    <w:rsid w:val="002B741B"/>
    <w:rsid w:val="002C0A6C"/>
    <w:rsid w:val="002C1584"/>
    <w:rsid w:val="002C41AA"/>
    <w:rsid w:val="002C5052"/>
    <w:rsid w:val="002C73CF"/>
    <w:rsid w:val="002C7938"/>
    <w:rsid w:val="002D41C6"/>
    <w:rsid w:val="002D6237"/>
    <w:rsid w:val="002D6CBE"/>
    <w:rsid w:val="002D73B8"/>
    <w:rsid w:val="002E2219"/>
    <w:rsid w:val="002E3ABF"/>
    <w:rsid w:val="002E553D"/>
    <w:rsid w:val="002E589F"/>
    <w:rsid w:val="002E7372"/>
    <w:rsid w:val="002F32AC"/>
    <w:rsid w:val="002F4985"/>
    <w:rsid w:val="002F69B1"/>
    <w:rsid w:val="002F69C5"/>
    <w:rsid w:val="002F7B12"/>
    <w:rsid w:val="00300717"/>
    <w:rsid w:val="00302E7E"/>
    <w:rsid w:val="00304743"/>
    <w:rsid w:val="003056C0"/>
    <w:rsid w:val="00306A20"/>
    <w:rsid w:val="00307B04"/>
    <w:rsid w:val="00307E9C"/>
    <w:rsid w:val="003138CB"/>
    <w:rsid w:val="0031397A"/>
    <w:rsid w:val="00316157"/>
    <w:rsid w:val="00316AD5"/>
    <w:rsid w:val="00320CCE"/>
    <w:rsid w:val="00326D8B"/>
    <w:rsid w:val="003277AA"/>
    <w:rsid w:val="003330EF"/>
    <w:rsid w:val="003331EE"/>
    <w:rsid w:val="0033466C"/>
    <w:rsid w:val="00335116"/>
    <w:rsid w:val="00335F21"/>
    <w:rsid w:val="00336B93"/>
    <w:rsid w:val="00337334"/>
    <w:rsid w:val="00342D21"/>
    <w:rsid w:val="0034707A"/>
    <w:rsid w:val="0035159D"/>
    <w:rsid w:val="00361FA7"/>
    <w:rsid w:val="00362CF5"/>
    <w:rsid w:val="003702DA"/>
    <w:rsid w:val="003704C9"/>
    <w:rsid w:val="00376928"/>
    <w:rsid w:val="003770A4"/>
    <w:rsid w:val="003808BC"/>
    <w:rsid w:val="003833DA"/>
    <w:rsid w:val="00385599"/>
    <w:rsid w:val="00385E7D"/>
    <w:rsid w:val="003864B3"/>
    <w:rsid w:val="00387E17"/>
    <w:rsid w:val="00391497"/>
    <w:rsid w:val="00392193"/>
    <w:rsid w:val="00394108"/>
    <w:rsid w:val="00397C6B"/>
    <w:rsid w:val="003A1C90"/>
    <w:rsid w:val="003A33B3"/>
    <w:rsid w:val="003A6437"/>
    <w:rsid w:val="003B6EAB"/>
    <w:rsid w:val="003C0717"/>
    <w:rsid w:val="003C0936"/>
    <w:rsid w:val="003C2ABD"/>
    <w:rsid w:val="003C4F97"/>
    <w:rsid w:val="003E0EE3"/>
    <w:rsid w:val="003F04AB"/>
    <w:rsid w:val="003F11B3"/>
    <w:rsid w:val="003F30D4"/>
    <w:rsid w:val="003F3DA3"/>
    <w:rsid w:val="003F6C62"/>
    <w:rsid w:val="003F7645"/>
    <w:rsid w:val="0040239A"/>
    <w:rsid w:val="004024AF"/>
    <w:rsid w:val="004104D9"/>
    <w:rsid w:val="00413A39"/>
    <w:rsid w:val="004159C1"/>
    <w:rsid w:val="00422026"/>
    <w:rsid w:val="00423230"/>
    <w:rsid w:val="0042496F"/>
    <w:rsid w:val="00425400"/>
    <w:rsid w:val="00425F00"/>
    <w:rsid w:val="00432057"/>
    <w:rsid w:val="00432457"/>
    <w:rsid w:val="004334DF"/>
    <w:rsid w:val="00434318"/>
    <w:rsid w:val="00435DBD"/>
    <w:rsid w:val="004360CA"/>
    <w:rsid w:val="0044048D"/>
    <w:rsid w:val="00440AF0"/>
    <w:rsid w:val="00441AC5"/>
    <w:rsid w:val="00442D7B"/>
    <w:rsid w:val="00443F18"/>
    <w:rsid w:val="00447315"/>
    <w:rsid w:val="00447C10"/>
    <w:rsid w:val="0045275D"/>
    <w:rsid w:val="00456B99"/>
    <w:rsid w:val="00457788"/>
    <w:rsid w:val="00457D31"/>
    <w:rsid w:val="00463733"/>
    <w:rsid w:val="00465C73"/>
    <w:rsid w:val="0047043F"/>
    <w:rsid w:val="00472C22"/>
    <w:rsid w:val="00473C76"/>
    <w:rsid w:val="0047548E"/>
    <w:rsid w:val="004844D8"/>
    <w:rsid w:val="00485FDF"/>
    <w:rsid w:val="00494BE1"/>
    <w:rsid w:val="00495576"/>
    <w:rsid w:val="004961F5"/>
    <w:rsid w:val="004966AB"/>
    <w:rsid w:val="004A0504"/>
    <w:rsid w:val="004A7B44"/>
    <w:rsid w:val="004B3895"/>
    <w:rsid w:val="004B3D78"/>
    <w:rsid w:val="004B4273"/>
    <w:rsid w:val="004B4F3F"/>
    <w:rsid w:val="004B599C"/>
    <w:rsid w:val="004C011A"/>
    <w:rsid w:val="004C04C6"/>
    <w:rsid w:val="004C11FC"/>
    <w:rsid w:val="004C12D3"/>
    <w:rsid w:val="004D12A6"/>
    <w:rsid w:val="004D60CF"/>
    <w:rsid w:val="004D73AF"/>
    <w:rsid w:val="004E0D2B"/>
    <w:rsid w:val="004E1C95"/>
    <w:rsid w:val="004E696B"/>
    <w:rsid w:val="004E7547"/>
    <w:rsid w:val="004F3DDA"/>
    <w:rsid w:val="004F7C89"/>
    <w:rsid w:val="00503CAA"/>
    <w:rsid w:val="00503F90"/>
    <w:rsid w:val="005120EF"/>
    <w:rsid w:val="00515A3E"/>
    <w:rsid w:val="005167B4"/>
    <w:rsid w:val="0052114E"/>
    <w:rsid w:val="0052241C"/>
    <w:rsid w:val="005226DB"/>
    <w:rsid w:val="0052589D"/>
    <w:rsid w:val="005261FB"/>
    <w:rsid w:val="00531613"/>
    <w:rsid w:val="00532054"/>
    <w:rsid w:val="0053768A"/>
    <w:rsid w:val="00540BAD"/>
    <w:rsid w:val="005450C3"/>
    <w:rsid w:val="0054564A"/>
    <w:rsid w:val="005471DE"/>
    <w:rsid w:val="005475A6"/>
    <w:rsid w:val="00550387"/>
    <w:rsid w:val="00551639"/>
    <w:rsid w:val="00553E5C"/>
    <w:rsid w:val="00560C91"/>
    <w:rsid w:val="00562510"/>
    <w:rsid w:val="00563E8F"/>
    <w:rsid w:val="0056469D"/>
    <w:rsid w:val="00566C5D"/>
    <w:rsid w:val="005738F0"/>
    <w:rsid w:val="00573BF1"/>
    <w:rsid w:val="00574012"/>
    <w:rsid w:val="00574170"/>
    <w:rsid w:val="005754CB"/>
    <w:rsid w:val="00576B19"/>
    <w:rsid w:val="00576E78"/>
    <w:rsid w:val="00581C01"/>
    <w:rsid w:val="00584CC3"/>
    <w:rsid w:val="005850AE"/>
    <w:rsid w:val="005878B9"/>
    <w:rsid w:val="005903C3"/>
    <w:rsid w:val="005912E8"/>
    <w:rsid w:val="00591DC9"/>
    <w:rsid w:val="00595280"/>
    <w:rsid w:val="005966C8"/>
    <w:rsid w:val="005A5557"/>
    <w:rsid w:val="005A71D7"/>
    <w:rsid w:val="005B4948"/>
    <w:rsid w:val="005B52B4"/>
    <w:rsid w:val="005B694C"/>
    <w:rsid w:val="005C770B"/>
    <w:rsid w:val="005D0055"/>
    <w:rsid w:val="005D090B"/>
    <w:rsid w:val="005E2D81"/>
    <w:rsid w:val="005E53F7"/>
    <w:rsid w:val="005E697F"/>
    <w:rsid w:val="005E7C1B"/>
    <w:rsid w:val="005F1DEA"/>
    <w:rsid w:val="005F45E3"/>
    <w:rsid w:val="00600769"/>
    <w:rsid w:val="0060574E"/>
    <w:rsid w:val="006128D5"/>
    <w:rsid w:val="0061518A"/>
    <w:rsid w:val="00616DDD"/>
    <w:rsid w:val="006170AB"/>
    <w:rsid w:val="0062417E"/>
    <w:rsid w:val="0062467E"/>
    <w:rsid w:val="00627AD3"/>
    <w:rsid w:val="00627C86"/>
    <w:rsid w:val="00632685"/>
    <w:rsid w:val="00633075"/>
    <w:rsid w:val="00634506"/>
    <w:rsid w:val="00640DF2"/>
    <w:rsid w:val="00645A90"/>
    <w:rsid w:val="00647335"/>
    <w:rsid w:val="006507E4"/>
    <w:rsid w:val="006510D1"/>
    <w:rsid w:val="0065174F"/>
    <w:rsid w:val="00651AE1"/>
    <w:rsid w:val="006520CC"/>
    <w:rsid w:val="00652BDE"/>
    <w:rsid w:val="0065454B"/>
    <w:rsid w:val="00660DC6"/>
    <w:rsid w:val="0066252B"/>
    <w:rsid w:val="00662D7A"/>
    <w:rsid w:val="00665AC1"/>
    <w:rsid w:val="006725DD"/>
    <w:rsid w:val="006760AF"/>
    <w:rsid w:val="00677A63"/>
    <w:rsid w:val="00681058"/>
    <w:rsid w:val="0068303B"/>
    <w:rsid w:val="006869AC"/>
    <w:rsid w:val="0068745F"/>
    <w:rsid w:val="00687A25"/>
    <w:rsid w:val="006923FD"/>
    <w:rsid w:val="0069379E"/>
    <w:rsid w:val="00694A71"/>
    <w:rsid w:val="00694F70"/>
    <w:rsid w:val="006A664C"/>
    <w:rsid w:val="006B140D"/>
    <w:rsid w:val="006B250E"/>
    <w:rsid w:val="006B2570"/>
    <w:rsid w:val="006B2986"/>
    <w:rsid w:val="006C1BDA"/>
    <w:rsid w:val="006C62EE"/>
    <w:rsid w:val="006C6A09"/>
    <w:rsid w:val="006C6EC3"/>
    <w:rsid w:val="006D35BA"/>
    <w:rsid w:val="006D455E"/>
    <w:rsid w:val="006D4928"/>
    <w:rsid w:val="006D4BCF"/>
    <w:rsid w:val="006D5406"/>
    <w:rsid w:val="006E04EB"/>
    <w:rsid w:val="006E1698"/>
    <w:rsid w:val="006E524D"/>
    <w:rsid w:val="006E6722"/>
    <w:rsid w:val="006E7FEF"/>
    <w:rsid w:val="006F0347"/>
    <w:rsid w:val="006F109C"/>
    <w:rsid w:val="006F118E"/>
    <w:rsid w:val="006F6A89"/>
    <w:rsid w:val="006F7FD7"/>
    <w:rsid w:val="00703879"/>
    <w:rsid w:val="00703AC5"/>
    <w:rsid w:val="00703BB3"/>
    <w:rsid w:val="007051D5"/>
    <w:rsid w:val="0070590B"/>
    <w:rsid w:val="00705D88"/>
    <w:rsid w:val="00710ACA"/>
    <w:rsid w:val="00710D40"/>
    <w:rsid w:val="0071557B"/>
    <w:rsid w:val="007222A2"/>
    <w:rsid w:val="00723A45"/>
    <w:rsid w:val="00724D7F"/>
    <w:rsid w:val="007259A4"/>
    <w:rsid w:val="0073149C"/>
    <w:rsid w:val="007320E0"/>
    <w:rsid w:val="00732FC8"/>
    <w:rsid w:val="00733C3D"/>
    <w:rsid w:val="00734055"/>
    <w:rsid w:val="0074079C"/>
    <w:rsid w:val="00740968"/>
    <w:rsid w:val="00743855"/>
    <w:rsid w:val="007438D9"/>
    <w:rsid w:val="00743FB2"/>
    <w:rsid w:val="00746B44"/>
    <w:rsid w:val="00747E74"/>
    <w:rsid w:val="0075622F"/>
    <w:rsid w:val="00756532"/>
    <w:rsid w:val="00756BFE"/>
    <w:rsid w:val="007573F7"/>
    <w:rsid w:val="0076136B"/>
    <w:rsid w:val="00763597"/>
    <w:rsid w:val="0076614D"/>
    <w:rsid w:val="007674D7"/>
    <w:rsid w:val="00771B90"/>
    <w:rsid w:val="00771CB6"/>
    <w:rsid w:val="00772B57"/>
    <w:rsid w:val="00774721"/>
    <w:rsid w:val="007772B3"/>
    <w:rsid w:val="007772D8"/>
    <w:rsid w:val="0077749C"/>
    <w:rsid w:val="00780957"/>
    <w:rsid w:val="00786397"/>
    <w:rsid w:val="007878E7"/>
    <w:rsid w:val="0079144C"/>
    <w:rsid w:val="007920CB"/>
    <w:rsid w:val="00792A56"/>
    <w:rsid w:val="0079652A"/>
    <w:rsid w:val="00796541"/>
    <w:rsid w:val="007A060F"/>
    <w:rsid w:val="007A0713"/>
    <w:rsid w:val="007A1A86"/>
    <w:rsid w:val="007A264A"/>
    <w:rsid w:val="007A609D"/>
    <w:rsid w:val="007A6A45"/>
    <w:rsid w:val="007B0DB2"/>
    <w:rsid w:val="007C2FF4"/>
    <w:rsid w:val="007C39F7"/>
    <w:rsid w:val="007C3F4A"/>
    <w:rsid w:val="007D2CFD"/>
    <w:rsid w:val="007D4424"/>
    <w:rsid w:val="007D44BC"/>
    <w:rsid w:val="007D5564"/>
    <w:rsid w:val="007D76AE"/>
    <w:rsid w:val="007E15B0"/>
    <w:rsid w:val="007E2E7D"/>
    <w:rsid w:val="007F00F8"/>
    <w:rsid w:val="007F285E"/>
    <w:rsid w:val="007F56E6"/>
    <w:rsid w:val="007F5A9A"/>
    <w:rsid w:val="007F5F36"/>
    <w:rsid w:val="00800585"/>
    <w:rsid w:val="00802179"/>
    <w:rsid w:val="00803049"/>
    <w:rsid w:val="0080571F"/>
    <w:rsid w:val="00805CDC"/>
    <w:rsid w:val="008072E8"/>
    <w:rsid w:val="00807547"/>
    <w:rsid w:val="00807B50"/>
    <w:rsid w:val="0081094D"/>
    <w:rsid w:val="00810C40"/>
    <w:rsid w:val="00811D8C"/>
    <w:rsid w:val="00812D06"/>
    <w:rsid w:val="00821D1F"/>
    <w:rsid w:val="008220F8"/>
    <w:rsid w:val="00823319"/>
    <w:rsid w:val="00827A67"/>
    <w:rsid w:val="00832B15"/>
    <w:rsid w:val="0083655D"/>
    <w:rsid w:val="0083723A"/>
    <w:rsid w:val="00840EF6"/>
    <w:rsid w:val="00841510"/>
    <w:rsid w:val="00841C2E"/>
    <w:rsid w:val="00843539"/>
    <w:rsid w:val="0084586E"/>
    <w:rsid w:val="008465B9"/>
    <w:rsid w:val="008466C5"/>
    <w:rsid w:val="00846E1F"/>
    <w:rsid w:val="00851A28"/>
    <w:rsid w:val="00854D3A"/>
    <w:rsid w:val="00854D97"/>
    <w:rsid w:val="00855753"/>
    <w:rsid w:val="00861687"/>
    <w:rsid w:val="00861B32"/>
    <w:rsid w:val="008620F6"/>
    <w:rsid w:val="00876CC6"/>
    <w:rsid w:val="00886C75"/>
    <w:rsid w:val="0088785B"/>
    <w:rsid w:val="008924A6"/>
    <w:rsid w:val="00892AB3"/>
    <w:rsid w:val="00895EF8"/>
    <w:rsid w:val="008A0CCB"/>
    <w:rsid w:val="008A20B8"/>
    <w:rsid w:val="008A636C"/>
    <w:rsid w:val="008B1E6B"/>
    <w:rsid w:val="008B6455"/>
    <w:rsid w:val="008C08B5"/>
    <w:rsid w:val="008C122E"/>
    <w:rsid w:val="008C33BA"/>
    <w:rsid w:val="008D0892"/>
    <w:rsid w:val="008D1CED"/>
    <w:rsid w:val="008D2F0F"/>
    <w:rsid w:val="008D5D55"/>
    <w:rsid w:val="008E0241"/>
    <w:rsid w:val="008E36B4"/>
    <w:rsid w:val="008E69DD"/>
    <w:rsid w:val="008F2889"/>
    <w:rsid w:val="00902F57"/>
    <w:rsid w:val="009036B3"/>
    <w:rsid w:val="00903D90"/>
    <w:rsid w:val="00904714"/>
    <w:rsid w:val="00906FD7"/>
    <w:rsid w:val="00912D08"/>
    <w:rsid w:val="0091421A"/>
    <w:rsid w:val="00915AF2"/>
    <w:rsid w:val="0091689F"/>
    <w:rsid w:val="009238F0"/>
    <w:rsid w:val="009259F9"/>
    <w:rsid w:val="009321B8"/>
    <w:rsid w:val="00936CD4"/>
    <w:rsid w:val="00940A4B"/>
    <w:rsid w:val="0094179C"/>
    <w:rsid w:val="009434C3"/>
    <w:rsid w:val="00947701"/>
    <w:rsid w:val="009524BA"/>
    <w:rsid w:val="009549AC"/>
    <w:rsid w:val="009567D4"/>
    <w:rsid w:val="00966E90"/>
    <w:rsid w:val="00973655"/>
    <w:rsid w:val="00975276"/>
    <w:rsid w:val="009808D9"/>
    <w:rsid w:val="0098217E"/>
    <w:rsid w:val="009824D3"/>
    <w:rsid w:val="00984D25"/>
    <w:rsid w:val="00990686"/>
    <w:rsid w:val="009933D7"/>
    <w:rsid w:val="009953D4"/>
    <w:rsid w:val="00995BB6"/>
    <w:rsid w:val="009A1100"/>
    <w:rsid w:val="009A129C"/>
    <w:rsid w:val="009A538A"/>
    <w:rsid w:val="009B03A3"/>
    <w:rsid w:val="009B2D29"/>
    <w:rsid w:val="009B2F42"/>
    <w:rsid w:val="009B4B5C"/>
    <w:rsid w:val="009B51C3"/>
    <w:rsid w:val="009C2F45"/>
    <w:rsid w:val="009C45B4"/>
    <w:rsid w:val="009C4F5B"/>
    <w:rsid w:val="009C5EFA"/>
    <w:rsid w:val="009D0369"/>
    <w:rsid w:val="009D5CFE"/>
    <w:rsid w:val="009D6BD0"/>
    <w:rsid w:val="009D6C52"/>
    <w:rsid w:val="009E0C72"/>
    <w:rsid w:val="009E3528"/>
    <w:rsid w:val="009E4421"/>
    <w:rsid w:val="009F1F65"/>
    <w:rsid w:val="009F35CC"/>
    <w:rsid w:val="009F5820"/>
    <w:rsid w:val="009F65A6"/>
    <w:rsid w:val="00A0245B"/>
    <w:rsid w:val="00A10DEB"/>
    <w:rsid w:val="00A1254E"/>
    <w:rsid w:val="00A1763D"/>
    <w:rsid w:val="00A178C2"/>
    <w:rsid w:val="00A2217D"/>
    <w:rsid w:val="00A3494E"/>
    <w:rsid w:val="00A3677D"/>
    <w:rsid w:val="00A43949"/>
    <w:rsid w:val="00A44DA3"/>
    <w:rsid w:val="00A477CF"/>
    <w:rsid w:val="00A53F40"/>
    <w:rsid w:val="00A54848"/>
    <w:rsid w:val="00A55FE5"/>
    <w:rsid w:val="00A565BD"/>
    <w:rsid w:val="00A630C1"/>
    <w:rsid w:val="00A641A3"/>
    <w:rsid w:val="00A659E9"/>
    <w:rsid w:val="00A67FFB"/>
    <w:rsid w:val="00A717E1"/>
    <w:rsid w:val="00A71DE4"/>
    <w:rsid w:val="00A73508"/>
    <w:rsid w:val="00A823EE"/>
    <w:rsid w:val="00A83289"/>
    <w:rsid w:val="00A857FC"/>
    <w:rsid w:val="00A866F6"/>
    <w:rsid w:val="00A92BF0"/>
    <w:rsid w:val="00A92EE2"/>
    <w:rsid w:val="00A94A2E"/>
    <w:rsid w:val="00AA40BE"/>
    <w:rsid w:val="00AA51F7"/>
    <w:rsid w:val="00AA58CD"/>
    <w:rsid w:val="00AA6ECF"/>
    <w:rsid w:val="00AB002E"/>
    <w:rsid w:val="00AB0B33"/>
    <w:rsid w:val="00AB2AA3"/>
    <w:rsid w:val="00AB4C4F"/>
    <w:rsid w:val="00AB657E"/>
    <w:rsid w:val="00AB6FD6"/>
    <w:rsid w:val="00AC5B10"/>
    <w:rsid w:val="00AC6B74"/>
    <w:rsid w:val="00AD08F2"/>
    <w:rsid w:val="00AD0973"/>
    <w:rsid w:val="00AD22BF"/>
    <w:rsid w:val="00AD230C"/>
    <w:rsid w:val="00AD6074"/>
    <w:rsid w:val="00AD6C04"/>
    <w:rsid w:val="00AE1248"/>
    <w:rsid w:val="00AE6B99"/>
    <w:rsid w:val="00AE6D23"/>
    <w:rsid w:val="00AE7AED"/>
    <w:rsid w:val="00AF0266"/>
    <w:rsid w:val="00AF33AE"/>
    <w:rsid w:val="00AF6A6D"/>
    <w:rsid w:val="00B039BD"/>
    <w:rsid w:val="00B06D6F"/>
    <w:rsid w:val="00B07FB2"/>
    <w:rsid w:val="00B2068C"/>
    <w:rsid w:val="00B20712"/>
    <w:rsid w:val="00B27A09"/>
    <w:rsid w:val="00B27F74"/>
    <w:rsid w:val="00B373C6"/>
    <w:rsid w:val="00B41154"/>
    <w:rsid w:val="00B45295"/>
    <w:rsid w:val="00B46963"/>
    <w:rsid w:val="00B50C8D"/>
    <w:rsid w:val="00B51122"/>
    <w:rsid w:val="00B51310"/>
    <w:rsid w:val="00B51511"/>
    <w:rsid w:val="00B565C3"/>
    <w:rsid w:val="00B60957"/>
    <w:rsid w:val="00B60F1E"/>
    <w:rsid w:val="00B62ACE"/>
    <w:rsid w:val="00B632FB"/>
    <w:rsid w:val="00B634EC"/>
    <w:rsid w:val="00B63579"/>
    <w:rsid w:val="00B6395F"/>
    <w:rsid w:val="00B63A16"/>
    <w:rsid w:val="00B672F5"/>
    <w:rsid w:val="00B7038C"/>
    <w:rsid w:val="00B7229A"/>
    <w:rsid w:val="00B727FD"/>
    <w:rsid w:val="00B7462D"/>
    <w:rsid w:val="00B81CEB"/>
    <w:rsid w:val="00B8446F"/>
    <w:rsid w:val="00B8505A"/>
    <w:rsid w:val="00B857E5"/>
    <w:rsid w:val="00B86B20"/>
    <w:rsid w:val="00B9029A"/>
    <w:rsid w:val="00B95D4B"/>
    <w:rsid w:val="00BA05F6"/>
    <w:rsid w:val="00BA604E"/>
    <w:rsid w:val="00BB353E"/>
    <w:rsid w:val="00BB412D"/>
    <w:rsid w:val="00BC1C85"/>
    <w:rsid w:val="00BC2804"/>
    <w:rsid w:val="00BC2F75"/>
    <w:rsid w:val="00BC4141"/>
    <w:rsid w:val="00BC51A7"/>
    <w:rsid w:val="00BC72BD"/>
    <w:rsid w:val="00BD10E1"/>
    <w:rsid w:val="00BD2E51"/>
    <w:rsid w:val="00BD38CF"/>
    <w:rsid w:val="00BD3AF0"/>
    <w:rsid w:val="00BD5A3A"/>
    <w:rsid w:val="00BD6CD2"/>
    <w:rsid w:val="00BE3834"/>
    <w:rsid w:val="00BE4234"/>
    <w:rsid w:val="00C00CEF"/>
    <w:rsid w:val="00C05DE2"/>
    <w:rsid w:val="00C065E2"/>
    <w:rsid w:val="00C1637F"/>
    <w:rsid w:val="00C16F11"/>
    <w:rsid w:val="00C2159F"/>
    <w:rsid w:val="00C21ABB"/>
    <w:rsid w:val="00C2707B"/>
    <w:rsid w:val="00C27B51"/>
    <w:rsid w:val="00C364CA"/>
    <w:rsid w:val="00C3651C"/>
    <w:rsid w:val="00C36CF5"/>
    <w:rsid w:val="00C3706E"/>
    <w:rsid w:val="00C37B8F"/>
    <w:rsid w:val="00C40F07"/>
    <w:rsid w:val="00C40F5E"/>
    <w:rsid w:val="00C41284"/>
    <w:rsid w:val="00C412FD"/>
    <w:rsid w:val="00C43FF9"/>
    <w:rsid w:val="00C44177"/>
    <w:rsid w:val="00C50AC0"/>
    <w:rsid w:val="00C512E1"/>
    <w:rsid w:val="00C51980"/>
    <w:rsid w:val="00C51C52"/>
    <w:rsid w:val="00C54812"/>
    <w:rsid w:val="00C55197"/>
    <w:rsid w:val="00C65EF0"/>
    <w:rsid w:val="00C67BCD"/>
    <w:rsid w:val="00C67DE5"/>
    <w:rsid w:val="00C7025C"/>
    <w:rsid w:val="00C70C68"/>
    <w:rsid w:val="00C73926"/>
    <w:rsid w:val="00C773F7"/>
    <w:rsid w:val="00C778A1"/>
    <w:rsid w:val="00C77C73"/>
    <w:rsid w:val="00C824B6"/>
    <w:rsid w:val="00C82D21"/>
    <w:rsid w:val="00C82EA1"/>
    <w:rsid w:val="00C82ED6"/>
    <w:rsid w:val="00C84578"/>
    <w:rsid w:val="00C95B59"/>
    <w:rsid w:val="00C96639"/>
    <w:rsid w:val="00C979D5"/>
    <w:rsid w:val="00CA16B6"/>
    <w:rsid w:val="00CA63A3"/>
    <w:rsid w:val="00CA6721"/>
    <w:rsid w:val="00CA69F9"/>
    <w:rsid w:val="00CA6DAC"/>
    <w:rsid w:val="00CB68C2"/>
    <w:rsid w:val="00CB7029"/>
    <w:rsid w:val="00CC0CF0"/>
    <w:rsid w:val="00CC35AD"/>
    <w:rsid w:val="00CC4C7B"/>
    <w:rsid w:val="00CC664F"/>
    <w:rsid w:val="00CD271A"/>
    <w:rsid w:val="00CD2E96"/>
    <w:rsid w:val="00CD4DBE"/>
    <w:rsid w:val="00CD730E"/>
    <w:rsid w:val="00CE5293"/>
    <w:rsid w:val="00CE5C48"/>
    <w:rsid w:val="00CE672B"/>
    <w:rsid w:val="00CF080B"/>
    <w:rsid w:val="00CF2531"/>
    <w:rsid w:val="00CF3AF9"/>
    <w:rsid w:val="00D014B9"/>
    <w:rsid w:val="00D01C60"/>
    <w:rsid w:val="00D03999"/>
    <w:rsid w:val="00D044A4"/>
    <w:rsid w:val="00D05382"/>
    <w:rsid w:val="00D06F82"/>
    <w:rsid w:val="00D105BF"/>
    <w:rsid w:val="00D10B74"/>
    <w:rsid w:val="00D121C6"/>
    <w:rsid w:val="00D13C2F"/>
    <w:rsid w:val="00D16465"/>
    <w:rsid w:val="00D2109A"/>
    <w:rsid w:val="00D2189B"/>
    <w:rsid w:val="00D24B7A"/>
    <w:rsid w:val="00D25624"/>
    <w:rsid w:val="00D31CBB"/>
    <w:rsid w:val="00D34EE8"/>
    <w:rsid w:val="00D378B1"/>
    <w:rsid w:val="00D43A3A"/>
    <w:rsid w:val="00D468AE"/>
    <w:rsid w:val="00D47397"/>
    <w:rsid w:val="00D51273"/>
    <w:rsid w:val="00D513D6"/>
    <w:rsid w:val="00D527AC"/>
    <w:rsid w:val="00D56BC3"/>
    <w:rsid w:val="00D576B9"/>
    <w:rsid w:val="00D62D9E"/>
    <w:rsid w:val="00D66B16"/>
    <w:rsid w:val="00D71559"/>
    <w:rsid w:val="00D7277B"/>
    <w:rsid w:val="00D76002"/>
    <w:rsid w:val="00D76AFD"/>
    <w:rsid w:val="00D76EB2"/>
    <w:rsid w:val="00D770AF"/>
    <w:rsid w:val="00D77669"/>
    <w:rsid w:val="00D8422A"/>
    <w:rsid w:val="00D85F24"/>
    <w:rsid w:val="00D876F9"/>
    <w:rsid w:val="00D878D0"/>
    <w:rsid w:val="00D90476"/>
    <w:rsid w:val="00D9269A"/>
    <w:rsid w:val="00D926E3"/>
    <w:rsid w:val="00D9495D"/>
    <w:rsid w:val="00D96D0D"/>
    <w:rsid w:val="00D974B9"/>
    <w:rsid w:val="00DA1528"/>
    <w:rsid w:val="00DA1B36"/>
    <w:rsid w:val="00DA345C"/>
    <w:rsid w:val="00DA36AB"/>
    <w:rsid w:val="00DA445E"/>
    <w:rsid w:val="00DA6530"/>
    <w:rsid w:val="00DA7189"/>
    <w:rsid w:val="00DB06FC"/>
    <w:rsid w:val="00DB0DE7"/>
    <w:rsid w:val="00DB3181"/>
    <w:rsid w:val="00DB32A4"/>
    <w:rsid w:val="00DB3A79"/>
    <w:rsid w:val="00DB3B75"/>
    <w:rsid w:val="00DB5B61"/>
    <w:rsid w:val="00DC2303"/>
    <w:rsid w:val="00DC60E5"/>
    <w:rsid w:val="00DC7851"/>
    <w:rsid w:val="00DC7CF4"/>
    <w:rsid w:val="00DD0054"/>
    <w:rsid w:val="00DD38B5"/>
    <w:rsid w:val="00DE23B5"/>
    <w:rsid w:val="00DE48BF"/>
    <w:rsid w:val="00DE6C1F"/>
    <w:rsid w:val="00DE74E7"/>
    <w:rsid w:val="00DF375B"/>
    <w:rsid w:val="00DF4CF8"/>
    <w:rsid w:val="00E002E7"/>
    <w:rsid w:val="00E0381A"/>
    <w:rsid w:val="00E04A66"/>
    <w:rsid w:val="00E1220D"/>
    <w:rsid w:val="00E2291D"/>
    <w:rsid w:val="00E22950"/>
    <w:rsid w:val="00E266FE"/>
    <w:rsid w:val="00E30665"/>
    <w:rsid w:val="00E309FD"/>
    <w:rsid w:val="00E3163C"/>
    <w:rsid w:val="00E31B76"/>
    <w:rsid w:val="00E36090"/>
    <w:rsid w:val="00E37688"/>
    <w:rsid w:val="00E37A4A"/>
    <w:rsid w:val="00E40745"/>
    <w:rsid w:val="00E42F8C"/>
    <w:rsid w:val="00E50B33"/>
    <w:rsid w:val="00E53762"/>
    <w:rsid w:val="00E53D2F"/>
    <w:rsid w:val="00E55BC0"/>
    <w:rsid w:val="00E55E99"/>
    <w:rsid w:val="00E562E4"/>
    <w:rsid w:val="00E56330"/>
    <w:rsid w:val="00E61683"/>
    <w:rsid w:val="00E6187D"/>
    <w:rsid w:val="00E63146"/>
    <w:rsid w:val="00E63A50"/>
    <w:rsid w:val="00E65141"/>
    <w:rsid w:val="00E6549B"/>
    <w:rsid w:val="00E67D7A"/>
    <w:rsid w:val="00E7028E"/>
    <w:rsid w:val="00E7038F"/>
    <w:rsid w:val="00E70493"/>
    <w:rsid w:val="00E70B32"/>
    <w:rsid w:val="00E74187"/>
    <w:rsid w:val="00E774C2"/>
    <w:rsid w:val="00E77544"/>
    <w:rsid w:val="00E80721"/>
    <w:rsid w:val="00E818D8"/>
    <w:rsid w:val="00E81DF6"/>
    <w:rsid w:val="00E83715"/>
    <w:rsid w:val="00E9025F"/>
    <w:rsid w:val="00E91F5C"/>
    <w:rsid w:val="00E929F4"/>
    <w:rsid w:val="00E92DC6"/>
    <w:rsid w:val="00E941CE"/>
    <w:rsid w:val="00E95045"/>
    <w:rsid w:val="00E9630C"/>
    <w:rsid w:val="00EA121B"/>
    <w:rsid w:val="00EA2AD9"/>
    <w:rsid w:val="00EA5DD4"/>
    <w:rsid w:val="00EA6E0F"/>
    <w:rsid w:val="00EA729B"/>
    <w:rsid w:val="00EB1169"/>
    <w:rsid w:val="00EB13ED"/>
    <w:rsid w:val="00EB55B8"/>
    <w:rsid w:val="00EB60DF"/>
    <w:rsid w:val="00EB61A7"/>
    <w:rsid w:val="00EB6B9D"/>
    <w:rsid w:val="00EB7EF0"/>
    <w:rsid w:val="00EC0E5C"/>
    <w:rsid w:val="00EC7155"/>
    <w:rsid w:val="00ED13A9"/>
    <w:rsid w:val="00ED42EF"/>
    <w:rsid w:val="00ED6124"/>
    <w:rsid w:val="00ED6CCB"/>
    <w:rsid w:val="00ED7016"/>
    <w:rsid w:val="00EE1423"/>
    <w:rsid w:val="00EE1451"/>
    <w:rsid w:val="00EE30CD"/>
    <w:rsid w:val="00EE3876"/>
    <w:rsid w:val="00EE5B31"/>
    <w:rsid w:val="00EF0371"/>
    <w:rsid w:val="00EF1E6B"/>
    <w:rsid w:val="00EF76AF"/>
    <w:rsid w:val="00F013C6"/>
    <w:rsid w:val="00F04288"/>
    <w:rsid w:val="00F0754C"/>
    <w:rsid w:val="00F075F6"/>
    <w:rsid w:val="00F0781E"/>
    <w:rsid w:val="00F1260F"/>
    <w:rsid w:val="00F129CB"/>
    <w:rsid w:val="00F13D36"/>
    <w:rsid w:val="00F159DE"/>
    <w:rsid w:val="00F16905"/>
    <w:rsid w:val="00F17307"/>
    <w:rsid w:val="00F17F23"/>
    <w:rsid w:val="00F219D3"/>
    <w:rsid w:val="00F22EEA"/>
    <w:rsid w:val="00F23FFD"/>
    <w:rsid w:val="00F24F1F"/>
    <w:rsid w:val="00F27466"/>
    <w:rsid w:val="00F4332E"/>
    <w:rsid w:val="00F43CA4"/>
    <w:rsid w:val="00F44CF3"/>
    <w:rsid w:val="00F453BB"/>
    <w:rsid w:val="00F4792E"/>
    <w:rsid w:val="00F52B08"/>
    <w:rsid w:val="00F551D9"/>
    <w:rsid w:val="00F57978"/>
    <w:rsid w:val="00F619A9"/>
    <w:rsid w:val="00F62FDC"/>
    <w:rsid w:val="00F66649"/>
    <w:rsid w:val="00F66BC8"/>
    <w:rsid w:val="00F71473"/>
    <w:rsid w:val="00F7218F"/>
    <w:rsid w:val="00F74FAF"/>
    <w:rsid w:val="00F75C4C"/>
    <w:rsid w:val="00F85E79"/>
    <w:rsid w:val="00F87E1E"/>
    <w:rsid w:val="00F93F61"/>
    <w:rsid w:val="00F95597"/>
    <w:rsid w:val="00F95F27"/>
    <w:rsid w:val="00FA19B8"/>
    <w:rsid w:val="00FA2F6F"/>
    <w:rsid w:val="00FA7BBC"/>
    <w:rsid w:val="00FA7C08"/>
    <w:rsid w:val="00FB1D7F"/>
    <w:rsid w:val="00FB49DF"/>
    <w:rsid w:val="00FB5955"/>
    <w:rsid w:val="00FB6777"/>
    <w:rsid w:val="00FB7A5A"/>
    <w:rsid w:val="00FC39FF"/>
    <w:rsid w:val="00FC43F2"/>
    <w:rsid w:val="00FC4E4C"/>
    <w:rsid w:val="00FC5A45"/>
    <w:rsid w:val="00FC61B0"/>
    <w:rsid w:val="00FD2C8E"/>
    <w:rsid w:val="00FD4CE5"/>
    <w:rsid w:val="00FD58DC"/>
    <w:rsid w:val="00FE332C"/>
    <w:rsid w:val="00FE3591"/>
    <w:rsid w:val="00FE41B9"/>
    <w:rsid w:val="00FE553F"/>
    <w:rsid w:val="00FE6DDE"/>
    <w:rsid w:val="00FF07CD"/>
    <w:rsid w:val="00FF3EC3"/>
    <w:rsid w:val="00FF6C38"/>
    <w:rsid w:val="2952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571791"/>
  <w15:docId w15:val="{BDF19F2B-0EF6-4ACD-9904-9963E396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B38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60F"/>
  </w:style>
  <w:style w:type="paragraph" w:styleId="Footer">
    <w:name w:val="footer"/>
    <w:basedOn w:val="Normal"/>
    <w:link w:val="FooterChar"/>
    <w:uiPriority w:val="99"/>
    <w:unhideWhenUsed/>
    <w:rsid w:val="0014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60F"/>
  </w:style>
  <w:style w:type="character" w:customStyle="1" w:styleId="Heading2Char">
    <w:name w:val="Heading 2 Char"/>
    <w:basedOn w:val="DefaultParagraphFont"/>
    <w:link w:val="Heading2"/>
    <w:uiPriority w:val="9"/>
    <w:rsid w:val="00145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6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60F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43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3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3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3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A39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F0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6EB2"/>
    <w:pPr>
      <w:spacing w:after="0" w:line="240" w:lineRule="auto"/>
    </w:pPr>
    <w:rPr>
      <w:lang w:val="en-GB"/>
    </w:rPr>
  </w:style>
  <w:style w:type="paragraph" w:styleId="Revision">
    <w:name w:val="Revision"/>
    <w:hidden/>
    <w:uiPriority w:val="99"/>
    <w:semiHidden/>
    <w:rsid w:val="00EB6B9D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25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0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25080-840b-4dc8-b8ab-d60714d56b57">
      <Terms xmlns="http://schemas.microsoft.com/office/infopath/2007/PartnerControls"/>
    </lcf76f155ced4ddcb4097134ff3c332f>
    <TaxCatchAll xmlns="b588b930-5b30-4097-91f9-37623a96ef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786E6925E644C82E31831AEA50057" ma:contentTypeVersion="18" ma:contentTypeDescription="Create a new document." ma:contentTypeScope="" ma:versionID="626199c5dc4f4f1e39059eca9e5b8f1b">
  <xsd:schema xmlns:xsd="http://www.w3.org/2001/XMLSchema" xmlns:xs="http://www.w3.org/2001/XMLSchema" xmlns:p="http://schemas.microsoft.com/office/2006/metadata/properties" xmlns:ns2="3d325080-840b-4dc8-b8ab-d60714d56b57" xmlns:ns3="b588b930-5b30-4097-91f9-37623a96efd5" targetNamespace="http://schemas.microsoft.com/office/2006/metadata/properties" ma:root="true" ma:fieldsID="c9e0b1153ad72cbd4d892df082c7407d" ns2:_="" ns3:_="">
    <xsd:import namespace="3d325080-840b-4dc8-b8ab-d60714d56b57"/>
    <xsd:import namespace="b588b930-5b30-4097-91f9-37623a96e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5080-840b-4dc8-b8ab-d60714d56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3ce402-834e-41eb-87d0-d5ace8e4c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b930-5b30-4097-91f9-37623a96e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50a154-9e51-4e69-9ba1-5ddd729039fc}" ma:internalName="TaxCatchAll" ma:showField="CatchAllData" ma:web="b588b930-5b30-4097-91f9-37623a96e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1D83-1CAF-4FC8-A683-A8B9DB101C26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f8af345-7224-439e-8723-89256d18c629"/>
    <ds:schemaRef ds:uri="http://purl.org/dc/terms/"/>
    <ds:schemaRef ds:uri="4d0b6f42-70a4-440d-a78b-5277aac0013a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AFF60A-2777-4F51-8299-0B009DDAE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52736-45DA-4228-B762-BE12B332511D}"/>
</file>

<file path=customXml/itemProps4.xml><?xml version="1.0" encoding="utf-8"?>
<ds:datastoreItem xmlns:ds="http://schemas.openxmlformats.org/officeDocument/2006/customXml" ds:itemID="{56D324AA-C0BF-4EDD-83D6-541ED2A6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1621</Words>
  <Characters>9789</Characters>
  <Application>Microsoft Office Word</Application>
  <DocSecurity>0</DocSecurity>
  <Lines>148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Atilla KARAMAN</dc:creator>
  <cp:lastModifiedBy>Syed Tahir Mahmud</cp:lastModifiedBy>
  <cp:revision>3</cp:revision>
  <cp:lastPrinted>2025-10-02T12:15:00Z</cp:lastPrinted>
  <dcterms:created xsi:type="dcterms:W3CDTF">2025-10-02T12:14:00Z</dcterms:created>
  <dcterms:modified xsi:type="dcterms:W3CDTF">2025-10-02T12:15:00Z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0x010100154786E6925E644C82E31831AEA50057</vt:lpwstr>
  </property>
  <property fmtid="{D5CDD505-2E9C-101B-9397-08002B2CF9AE}" pid="3" name="Order">
    <vt:r8>11554000</vt:r8>
  </property>
  <property fmtid="{D5CDD505-2E9C-101B-9397-08002B2CF9AE}" pid="4" name="MediaServiceImageTags">
    <vt:lpwstr/>
  </property>
  <property fmtid="{D5CDD505-2E9C-101B-9397-08002B2CF9AE}" pid="5" name="GrammarlyDocumentId">
    <vt:lpwstr>beb634e7-f0a3-48bd-bdc6-392442c215d9</vt:lpwstr>
  </property>
</Properties>
</file>