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15F6B" w14:textId="33433756" w:rsidR="003F04AB" w:rsidRPr="00F129CB" w:rsidRDefault="006760AF" w:rsidP="00F129CB">
      <w:pPr>
        <w:spacing w:before="120"/>
        <w:jc w:val="both"/>
        <w:rPr>
          <w:rFonts w:ascii="Times New Roman" w:hAnsi="Times New Roman" w:cs="Times New Roman"/>
          <w:i/>
          <w:iCs/>
          <w:spacing w:val="-4"/>
          <w:sz w:val="24"/>
          <w:szCs w:val="24"/>
        </w:rPr>
      </w:pPr>
      <w:bookmarkStart w:id="0" w:name="OLE_LINK21"/>
      <w:r>
        <w:rPr>
          <w:rFonts w:ascii="Times New Roman" w:hAnsi="Times New Roman"/>
          <w:i/>
          <w:iCs/>
          <w:sz w:val="24"/>
          <w:szCs w:val="24"/>
        </w:rPr>
        <w:t>La 14ème session de la Commission statistique de l'OCI (OIC-StatCom), tenue au siège à Ankara, République de Türkiye, du 1er au 3 octobre 2025 (9-11 Rabi Al-Thani 1447 H),</w:t>
      </w:r>
    </w:p>
    <w:p w14:paraId="4ECC02D3" w14:textId="02ACE561" w:rsidR="006760AF" w:rsidRDefault="006760AF" w:rsidP="00F129CB">
      <w:pPr>
        <w:spacing w:before="120"/>
        <w:ind w:firstLine="720"/>
        <w:jc w:val="both"/>
        <w:rPr>
          <w:rFonts w:ascii="Times New Roman" w:hAnsi="Times New Roman" w:cs="Times New Roman"/>
          <w:bCs/>
          <w:iCs/>
          <w:sz w:val="24"/>
          <w:szCs w:val="24"/>
        </w:rPr>
      </w:pPr>
      <w:r>
        <w:rPr>
          <w:rFonts w:ascii="Times New Roman" w:hAnsi="Times New Roman"/>
          <w:b/>
          <w:iCs/>
          <w:sz w:val="24"/>
          <w:szCs w:val="24"/>
          <w:u w:val="single"/>
        </w:rPr>
        <w:t>Exprimant sa gratitude</w:t>
      </w:r>
      <w:r>
        <w:rPr>
          <w:rFonts w:ascii="Times New Roman" w:hAnsi="Times New Roman"/>
          <w:iCs/>
          <w:sz w:val="24"/>
          <w:szCs w:val="24"/>
        </w:rPr>
        <w:t xml:space="preserve"> Exprimant sa gratitude au Centre de recherche et de formation statistiques, économiques et sociales pour les pays islamiques (SESRIC), en tant que secrétariat, et à la Banque islamique de développement (BID), en tant que membre d'office du Bureau, pour leur contribution au développement du contenu, leurs efforts logistiques et leur soutien financier dans la co-organisation de la session ;</w:t>
      </w:r>
    </w:p>
    <w:p w14:paraId="4571B963" w14:textId="7128E91C" w:rsidR="00435DBD" w:rsidRPr="00710ACA" w:rsidRDefault="00E309FD" w:rsidP="00F129CB">
      <w:pPr>
        <w:spacing w:before="120"/>
        <w:ind w:firstLine="720"/>
        <w:jc w:val="both"/>
        <w:rPr>
          <w:rFonts w:ascii="Times New Roman" w:hAnsi="Times New Roman" w:cs="Times New Roman"/>
          <w:b/>
          <w:iCs/>
          <w:sz w:val="24"/>
          <w:szCs w:val="24"/>
          <w:u w:val="single"/>
        </w:rPr>
      </w:pPr>
      <w:r>
        <w:rPr>
          <w:rFonts w:ascii="Times New Roman" w:hAnsi="Times New Roman"/>
          <w:b/>
          <w:iCs/>
          <w:sz w:val="24"/>
          <w:szCs w:val="24"/>
          <w:u w:val="single"/>
        </w:rPr>
        <w:t xml:space="preserve">Nous tenons également à remercier et à </w:t>
      </w:r>
      <w:r w:rsidR="00CE1D80">
        <w:rPr>
          <w:rFonts w:ascii="Times New Roman" w:hAnsi="Times New Roman"/>
          <w:b/>
          <w:iCs/>
          <w:sz w:val="24"/>
          <w:szCs w:val="24"/>
          <w:u w:val="single"/>
        </w:rPr>
        <w:t>féliciter</w:t>
      </w:r>
      <w:r w:rsidR="00CE1D80">
        <w:rPr>
          <w:rFonts w:ascii="Times New Roman" w:hAnsi="Times New Roman"/>
          <w:iCs/>
          <w:sz w:val="24"/>
          <w:szCs w:val="24"/>
        </w:rPr>
        <w:t xml:space="preserve"> les</w:t>
      </w:r>
      <w:r>
        <w:rPr>
          <w:rFonts w:ascii="Times New Roman" w:hAnsi="Times New Roman"/>
          <w:iCs/>
          <w:sz w:val="24"/>
          <w:szCs w:val="24"/>
        </w:rPr>
        <w:t xml:space="preserve"> membres de la Commission pour leur présence au plus haut niveau et pour leurs commentaires et contributions qui ont enrichi le contenu et les débats tout au long de la session.</w:t>
      </w:r>
      <w:r>
        <w:rPr>
          <w:rFonts w:ascii="Times New Roman" w:hAnsi="Times New Roman"/>
          <w:bCs/>
          <w:iCs/>
          <w:sz w:val="24"/>
          <w:szCs w:val="24"/>
        </w:rPr>
        <w:t xml:space="preserve"> </w:t>
      </w:r>
    </w:p>
    <w:p w14:paraId="519AC846" w14:textId="1E5FCA25" w:rsidR="00802179" w:rsidRPr="00710ACA" w:rsidRDefault="003F04AB" w:rsidP="00F129CB">
      <w:pPr>
        <w:spacing w:before="120"/>
        <w:ind w:firstLine="720"/>
        <w:jc w:val="both"/>
        <w:rPr>
          <w:rFonts w:ascii="Times New Roman" w:hAnsi="Times New Roman" w:cs="Times New Roman"/>
          <w:iCs/>
          <w:sz w:val="24"/>
          <w:szCs w:val="24"/>
        </w:rPr>
      </w:pPr>
      <w:r>
        <w:rPr>
          <w:rFonts w:ascii="Times New Roman" w:hAnsi="Times New Roman"/>
          <w:b/>
          <w:sz w:val="24"/>
          <w:szCs w:val="24"/>
          <w:u w:val="single"/>
        </w:rPr>
        <w:t>Rappelant</w:t>
      </w:r>
      <w:r>
        <w:rPr>
          <w:rFonts w:ascii="Times New Roman" w:hAnsi="Times New Roman"/>
          <w:sz w:val="24"/>
          <w:szCs w:val="24"/>
        </w:rPr>
        <w:t xml:space="preserve"> la résolution adoptée par la 13ème session de l'OIC-StatCom tenue à Ankara les 15 et 16 octobre 2024 (12 et 13 Rabi Al-Thani 1446 H), ainsi que les résolutions adoptées par les sessions précédentes de l'OIC-StatCom et d'autres instances pertinentes de l'OCI en matière de statistiques ;</w:t>
      </w:r>
    </w:p>
    <w:p w14:paraId="30C06CDE" w14:textId="76D7AF30" w:rsidR="0033466C" w:rsidRPr="00710ACA" w:rsidRDefault="0033466C" w:rsidP="00F129CB">
      <w:pPr>
        <w:spacing w:before="120"/>
        <w:ind w:firstLine="720"/>
        <w:jc w:val="both"/>
        <w:rPr>
          <w:rFonts w:ascii="Times New Roman" w:hAnsi="Times New Roman" w:cs="Times New Roman"/>
          <w:bCs/>
          <w:iCs/>
          <w:sz w:val="24"/>
          <w:szCs w:val="24"/>
        </w:rPr>
      </w:pPr>
      <w:r>
        <w:rPr>
          <w:rFonts w:ascii="Times New Roman" w:hAnsi="Times New Roman"/>
          <w:b/>
          <w:bCs/>
          <w:iCs/>
          <w:sz w:val="24"/>
          <w:szCs w:val="24"/>
          <w:u w:val="single"/>
        </w:rPr>
        <w:t>Rappelant également</w:t>
      </w:r>
      <w:r>
        <w:rPr>
          <w:rFonts w:ascii="Times New Roman" w:hAnsi="Times New Roman"/>
          <w:bCs/>
          <w:iCs/>
          <w:sz w:val="24"/>
          <w:szCs w:val="24"/>
        </w:rPr>
        <w:t xml:space="preserve"> les recommandations et décisions internationales pertinentes, notamment celles qui soutiennent l'amélioration des systèmes statistiques nationaux (SSN), telles que les résolutions de la cinquante-sixième session de la Commission statistique des Nations Unies (CSNU), tenue à New York du 4 au 7 mars 2025 ;</w:t>
      </w:r>
    </w:p>
    <w:p w14:paraId="22A18B0F" w14:textId="05F7E3AD" w:rsidR="00385599" w:rsidRDefault="00B634EC" w:rsidP="00CE1D80">
      <w:pPr>
        <w:spacing w:before="120"/>
        <w:ind w:firstLine="720"/>
        <w:jc w:val="both"/>
        <w:rPr>
          <w:rFonts w:ascii="Times New Roman" w:hAnsi="Times New Roman" w:cs="Times New Roman"/>
          <w:iCs/>
          <w:sz w:val="24"/>
          <w:szCs w:val="24"/>
        </w:rPr>
      </w:pPr>
      <w:r>
        <w:rPr>
          <w:rFonts w:ascii="Times New Roman" w:hAnsi="Times New Roman"/>
          <w:b/>
          <w:iCs/>
          <w:sz w:val="24"/>
          <w:szCs w:val="24"/>
          <w:u w:val="single"/>
        </w:rPr>
        <w:t>Prenant acte</w:t>
      </w:r>
      <w:r>
        <w:rPr>
          <w:rFonts w:ascii="Times New Roman" w:hAnsi="Times New Roman"/>
          <w:iCs/>
          <w:sz w:val="24"/>
          <w:szCs w:val="24"/>
        </w:rPr>
        <w:t xml:space="preserve"> du succès de l'organisation de la réunion de suivi de la 13ème session de l'OIC-StatCom, tenue le 5 mars 2025 en marge de la </w:t>
      </w:r>
      <w:r w:rsidR="00CE1D80">
        <w:rPr>
          <w:rFonts w:ascii="Times New Roman" w:hAnsi="Times New Roman"/>
          <w:iCs/>
          <w:sz w:val="24"/>
          <w:szCs w:val="24"/>
        </w:rPr>
        <w:t>56</w:t>
      </w:r>
      <w:r>
        <w:rPr>
          <w:rFonts w:ascii="Times New Roman" w:hAnsi="Times New Roman"/>
          <w:iCs/>
          <w:sz w:val="24"/>
          <w:szCs w:val="24"/>
        </w:rPr>
        <w:t>ème session du Conseil de sécurité des Nations unies, et des décisions prises à cette occasion ;</w:t>
      </w:r>
    </w:p>
    <w:p w14:paraId="5B0604CB" w14:textId="59B5F34A" w:rsidR="002947C2" w:rsidRPr="00710ACA" w:rsidRDefault="002947C2" w:rsidP="00F129CB">
      <w:pPr>
        <w:spacing w:before="120"/>
        <w:ind w:firstLine="720"/>
        <w:jc w:val="both"/>
        <w:rPr>
          <w:rFonts w:ascii="Times New Roman" w:hAnsi="Times New Roman" w:cs="Times New Roman"/>
          <w:iCs/>
          <w:sz w:val="24"/>
          <w:szCs w:val="24"/>
        </w:rPr>
      </w:pPr>
      <w:r>
        <w:rPr>
          <w:rFonts w:ascii="Times New Roman" w:hAnsi="Times New Roman"/>
          <w:b/>
          <w:iCs/>
          <w:sz w:val="24"/>
          <w:szCs w:val="24"/>
          <w:u w:val="single"/>
        </w:rPr>
        <w:t>Prenant acte avec satısfactıon</w:t>
      </w:r>
      <w:r>
        <w:rPr>
          <w:rFonts w:ascii="Times New Roman" w:hAnsi="Times New Roman"/>
          <w:iCs/>
          <w:sz w:val="24"/>
          <w:szCs w:val="24"/>
        </w:rPr>
        <w:t xml:space="preserve"> des rapports du Secrétariat de la Commission statistique de l'Organisation de coopération islamique, à savoir : (i) le rapport sur la mise en œuvre du Programme d'action (PoA) de l'OIC-StatCom pour 2021-2025 ; (ii) le rapport sur la mise en œuvre des résolutions de la 13ème session ; et (iii) le projet de programme d'action (PoA) pour 2026-2030 dans le cadre de la vision stratégique de l'OIC-StatCom pour 2030, ainsi que le programme de travail global de la 14ème session et les notes conceptuelles et projets de programmes qui l'accompagnent et les projets de programmes d'événements parallèles.</w:t>
      </w:r>
    </w:p>
    <w:p w14:paraId="3E60195B" w14:textId="77777777" w:rsidR="00CE1D80" w:rsidRDefault="00CE1D80" w:rsidP="00F129CB">
      <w:pPr>
        <w:spacing w:before="120"/>
        <w:ind w:firstLine="720"/>
        <w:jc w:val="both"/>
        <w:rPr>
          <w:rFonts w:ascii="Times New Roman" w:hAnsi="Times New Roman"/>
          <w:b/>
          <w:bCs/>
          <w:iCs/>
          <w:sz w:val="24"/>
          <w:szCs w:val="24"/>
          <w:u w:val="single"/>
        </w:rPr>
      </w:pPr>
    </w:p>
    <w:p w14:paraId="51225690" w14:textId="0EC533C7" w:rsidR="001E2AB1" w:rsidRDefault="001E2AB1" w:rsidP="00F129CB">
      <w:pPr>
        <w:spacing w:before="120"/>
        <w:ind w:firstLine="720"/>
        <w:jc w:val="both"/>
        <w:rPr>
          <w:rFonts w:ascii="Times New Roman" w:hAnsi="Times New Roman" w:cs="Times New Roman"/>
          <w:b/>
          <w:bCs/>
          <w:iCs/>
          <w:sz w:val="24"/>
          <w:szCs w:val="24"/>
          <w:u w:val="single"/>
        </w:rPr>
      </w:pPr>
      <w:r>
        <w:rPr>
          <w:rFonts w:ascii="Times New Roman" w:hAnsi="Times New Roman"/>
          <w:b/>
          <w:bCs/>
          <w:iCs/>
          <w:sz w:val="24"/>
          <w:szCs w:val="24"/>
          <w:u w:val="single"/>
        </w:rPr>
        <w:lastRenderedPageBreak/>
        <w:t>Reconnaissant l'importance</w:t>
      </w:r>
      <w:r>
        <w:rPr>
          <w:rFonts w:ascii="Times New Roman" w:hAnsi="Times New Roman"/>
          <w:iCs/>
          <w:sz w:val="24"/>
          <w:szCs w:val="24"/>
        </w:rPr>
        <w:t xml:space="preserve"> d'une collaboration soutenue pour renforcer les systèmes statistiques nationaux (SSN) et s'aligner sur les initiatives internationales en faveur du développement durable, et sur la base de la mise en œuvre de la Vision stratégique 2030 de l'OIC-StatCom et de son premier programme d’actıon (2021-2025) ;</w:t>
      </w:r>
    </w:p>
    <w:p w14:paraId="49D871FC" w14:textId="5BE73D2A" w:rsidR="008E36B4" w:rsidRPr="00710ACA" w:rsidRDefault="0009291D" w:rsidP="00F129CB">
      <w:pPr>
        <w:spacing w:before="120"/>
        <w:ind w:firstLine="720"/>
        <w:jc w:val="both"/>
        <w:rPr>
          <w:rFonts w:ascii="Times New Roman" w:hAnsi="Times New Roman" w:cs="Times New Roman"/>
          <w:iCs/>
          <w:sz w:val="24"/>
          <w:szCs w:val="24"/>
        </w:rPr>
      </w:pPr>
      <w:r>
        <w:rPr>
          <w:rFonts w:ascii="Times New Roman" w:hAnsi="Times New Roman"/>
          <w:b/>
          <w:sz w:val="24"/>
          <w:szCs w:val="24"/>
          <w:u w:val="single"/>
        </w:rPr>
        <w:t>Saluant</w:t>
      </w:r>
      <w:r>
        <w:rPr>
          <w:rFonts w:ascii="Times New Roman" w:hAnsi="Times New Roman"/>
          <w:sz w:val="24"/>
          <w:szCs w:val="24"/>
        </w:rPr>
        <w:t xml:space="preserve"> les contributions apportées par les différents intervenants et participants au cours des séances consacrées aux thèmes principaux, notamment: “Le programme d'action de l'OIC-StatCom pour 2026-2030”, “Le rôle des offices nationaux de statistique dans le soutien à la transition énergétique fondée sur les données” , “La modernisation des ONS grâce à la numérisation”  et “Les objectifs de développement durable :</w:t>
      </w:r>
      <w:r>
        <w:rPr>
          <w:rFonts w:ascii="Times New Roman" w:hAnsi="Times New Roman"/>
          <w:i/>
          <w:sz w:val="24"/>
          <w:szCs w:val="24"/>
        </w:rPr>
        <w:t xml:space="preserve"> </w:t>
      </w:r>
      <w:r>
        <w:rPr>
          <w:rFonts w:ascii="Times New Roman" w:hAnsi="Times New Roman"/>
          <w:sz w:val="24"/>
          <w:szCs w:val="24"/>
        </w:rPr>
        <w:t>suivi et rapports sur l'objectif 4 des objectifs de développement durable (éducation de qualité) ”, présentés par les États membres de l'OCI ainsi que par les représentants d'organisations régionales et internationales, notamment l'AITRS, l'AIE, PARIS21, l'ISU, la CEE-ONU, le FNUAP et la DSNU ;</w:t>
      </w:r>
    </w:p>
    <w:bookmarkEnd w:id="0"/>
    <w:p w14:paraId="399B8D2E" w14:textId="789ACF42" w:rsidR="002E3ABF" w:rsidRPr="002E3ABF" w:rsidRDefault="002E3ABF" w:rsidP="00F129CB">
      <w:pPr>
        <w:pStyle w:val="ListParagraph"/>
        <w:numPr>
          <w:ilvl w:val="0"/>
          <w:numId w:val="1"/>
        </w:numPr>
        <w:spacing w:before="120"/>
        <w:ind w:left="851" w:hanging="578"/>
        <w:contextualSpacing w:val="0"/>
        <w:jc w:val="both"/>
        <w:rPr>
          <w:rFonts w:asciiTheme="majorBidi" w:hAnsiTheme="majorBidi" w:cstheme="majorBidi"/>
          <w:sz w:val="24"/>
          <w:szCs w:val="24"/>
        </w:rPr>
      </w:pPr>
      <w:r>
        <w:rPr>
          <w:rFonts w:asciiTheme="majorBidi" w:hAnsiTheme="majorBidi"/>
          <w:b/>
          <w:bCs/>
          <w:sz w:val="24"/>
          <w:szCs w:val="24"/>
        </w:rPr>
        <w:t>Adopte</w:t>
      </w:r>
      <w:r>
        <w:rPr>
          <w:rFonts w:asciiTheme="majorBidi" w:hAnsiTheme="majorBidi"/>
          <w:sz w:val="24"/>
          <w:szCs w:val="24"/>
        </w:rPr>
        <w:t xml:space="preserve"> le programme d`action (P</w:t>
      </w:r>
      <w:r w:rsidR="00CE1D80">
        <w:rPr>
          <w:rFonts w:asciiTheme="majorBidi" w:hAnsiTheme="majorBidi"/>
          <w:sz w:val="24"/>
          <w:szCs w:val="24"/>
        </w:rPr>
        <w:t>o</w:t>
      </w:r>
      <w:r>
        <w:rPr>
          <w:rFonts w:asciiTheme="majorBidi" w:hAnsiTheme="majorBidi"/>
          <w:sz w:val="24"/>
          <w:szCs w:val="24"/>
        </w:rPr>
        <w:t xml:space="preserve">A) de l'OIC-StatCom pour la période 2026-2030, élaboré dans le cadre de la vision stratégique de l' OIC-StatCom pour 2030, afin de concrétiser ses domaines et objectifs stratégiques à travers des mesures clés concrètes, des calendriers et des indicateurs de performance ; demande au Secrétariat, en étroite collaboration avec les offices nationaux de statistique (ONS), d'assurer le suivi et de faciliter sa mise en œuvre, et de rendre compte régulièrement des progrès accomplis lors des sessions principales et des réunions de suivi de la Commission, afin de garantir que le nouveau PoA contribue efficacement à la réalisation de la Vision stratégique de l'OIC-StatCom pour 2030. </w:t>
      </w:r>
    </w:p>
    <w:p w14:paraId="713DBD3F" w14:textId="10F59D2D" w:rsidR="002E3ABF" w:rsidRPr="002E3ABF" w:rsidRDefault="002E3ABF" w:rsidP="00F129CB">
      <w:pPr>
        <w:pStyle w:val="ListParagraph"/>
        <w:numPr>
          <w:ilvl w:val="0"/>
          <w:numId w:val="1"/>
        </w:numPr>
        <w:spacing w:before="120"/>
        <w:ind w:left="851" w:hanging="578"/>
        <w:contextualSpacing w:val="0"/>
        <w:jc w:val="both"/>
        <w:rPr>
          <w:rFonts w:asciiTheme="majorBidi" w:hAnsiTheme="majorBidi" w:cstheme="majorBidi"/>
          <w:bCs/>
          <w:sz w:val="24"/>
          <w:szCs w:val="24"/>
        </w:rPr>
      </w:pPr>
      <w:r>
        <w:rPr>
          <w:rFonts w:asciiTheme="majorBidi" w:hAnsiTheme="majorBidi"/>
          <w:b/>
          <w:bCs/>
          <w:sz w:val="24"/>
          <w:szCs w:val="24"/>
        </w:rPr>
        <w:t xml:space="preserve">Invite </w:t>
      </w:r>
      <w:r>
        <w:rPr>
          <w:rFonts w:asciiTheme="majorBidi" w:hAnsiTheme="majorBidi"/>
          <w:sz w:val="24"/>
          <w:szCs w:val="24"/>
        </w:rPr>
        <w:t>les pays membres à désigner des points focaux nationaux pour le Programme d'action 2026-2030 et à répondre en temps utile aux questionnaires et aux suivis du Secrétariat afin d'assurer un suivi complet des progrès et une coordination efficace.</w:t>
      </w:r>
    </w:p>
    <w:p w14:paraId="021D0AC0" w14:textId="653B1E84" w:rsidR="002E3ABF" w:rsidRPr="002E3ABF" w:rsidRDefault="002E3ABF" w:rsidP="00F129CB">
      <w:pPr>
        <w:pStyle w:val="ListParagraph"/>
        <w:numPr>
          <w:ilvl w:val="0"/>
          <w:numId w:val="1"/>
        </w:numPr>
        <w:spacing w:before="120"/>
        <w:ind w:left="851" w:hanging="578"/>
        <w:contextualSpacing w:val="0"/>
        <w:jc w:val="both"/>
        <w:rPr>
          <w:rFonts w:asciiTheme="majorBidi" w:hAnsiTheme="majorBidi" w:cstheme="majorBidi"/>
          <w:b/>
          <w:sz w:val="24"/>
          <w:szCs w:val="24"/>
        </w:rPr>
      </w:pPr>
      <w:r>
        <w:rPr>
          <w:rFonts w:asciiTheme="majorBidi" w:hAnsiTheme="majorBidi"/>
          <w:b/>
          <w:bCs/>
          <w:sz w:val="24"/>
          <w:szCs w:val="24"/>
        </w:rPr>
        <w:t>Encourage</w:t>
      </w:r>
      <w:r>
        <w:rPr>
          <w:rFonts w:asciiTheme="majorBidi" w:hAnsiTheme="majorBidi"/>
          <w:sz w:val="24"/>
          <w:szCs w:val="24"/>
        </w:rPr>
        <w:t xml:space="preserve"> l'harmonisation du programme d'action 2026-2030 avec le programme d'action 2026-2035 prévu de l'OCI, en définissant des indicateurs de suivi et d'évaluation et en renforçant les dispositifs institutionnels pour leur collecte et leur diffusion.</w:t>
      </w:r>
    </w:p>
    <w:p w14:paraId="23624C23" w14:textId="77777777" w:rsidR="002E3ABF" w:rsidRDefault="002E3ABF" w:rsidP="00F129CB">
      <w:pPr>
        <w:pStyle w:val="ListParagraph"/>
        <w:numPr>
          <w:ilvl w:val="0"/>
          <w:numId w:val="1"/>
        </w:numPr>
        <w:spacing w:before="120"/>
        <w:ind w:left="851" w:hanging="578"/>
        <w:contextualSpacing w:val="0"/>
        <w:jc w:val="both"/>
        <w:rPr>
          <w:rFonts w:asciiTheme="majorBidi" w:hAnsiTheme="majorBidi" w:cstheme="majorBidi"/>
          <w:bCs/>
          <w:sz w:val="24"/>
          <w:szCs w:val="24"/>
        </w:rPr>
      </w:pPr>
      <w:r>
        <w:rPr>
          <w:rFonts w:asciiTheme="majorBidi" w:hAnsiTheme="majorBidi"/>
          <w:b/>
          <w:sz w:val="24"/>
          <w:szCs w:val="24"/>
        </w:rPr>
        <w:t>Salue</w:t>
      </w:r>
      <w:r>
        <w:rPr>
          <w:rFonts w:asciiTheme="majorBidi" w:hAnsiTheme="majorBidi"/>
          <w:sz w:val="24"/>
          <w:szCs w:val="24"/>
        </w:rPr>
        <w:t xml:space="preserve"> avec satisfaction l'organisation réussie par le SESRIC, en collaboration avec TURKSTAT, la Division de statistique des Nations Unies et la CESAO, de l'événement parallèle thématique qui s'est tenu à la Maison turque (Centre Türkevi) à New York en marge de la 56ème session de la Commission de statistique des Nations </w:t>
      </w:r>
      <w:r>
        <w:rPr>
          <w:rFonts w:asciiTheme="majorBidi" w:hAnsiTheme="majorBidi"/>
          <w:sz w:val="24"/>
          <w:szCs w:val="24"/>
        </w:rPr>
        <w:lastRenderedPageBreak/>
        <w:t>Unies, sur la base de la résolution de la 13ème session de la Commission de statistique de l'OCI ; et félicite le SESRIC d'avoir organisé un deuxième événement parallèle à l'ONU pour mettre en évidence les priorités statistiques des États membres de l'OCI.</w:t>
      </w:r>
      <w:r>
        <w:rPr>
          <w:rFonts w:asciiTheme="majorBidi" w:hAnsiTheme="majorBidi"/>
          <w:bCs/>
          <w:sz w:val="24"/>
          <w:szCs w:val="24"/>
        </w:rPr>
        <w:t xml:space="preserve"> </w:t>
      </w:r>
    </w:p>
    <w:p w14:paraId="02AAD30D" w14:textId="1080E7CB" w:rsidR="002E3ABF" w:rsidRPr="002E3ABF" w:rsidRDefault="002E3ABF" w:rsidP="00F129CB">
      <w:pPr>
        <w:pStyle w:val="ListParagraph"/>
        <w:numPr>
          <w:ilvl w:val="0"/>
          <w:numId w:val="1"/>
        </w:numPr>
        <w:spacing w:before="120"/>
        <w:ind w:left="851" w:hanging="578"/>
        <w:contextualSpacing w:val="0"/>
        <w:jc w:val="both"/>
        <w:rPr>
          <w:rFonts w:asciiTheme="majorBidi" w:hAnsiTheme="majorBidi" w:cstheme="majorBidi"/>
          <w:bCs/>
          <w:sz w:val="24"/>
          <w:szCs w:val="24"/>
        </w:rPr>
      </w:pPr>
      <w:r>
        <w:rPr>
          <w:rFonts w:asciiTheme="majorBidi" w:hAnsiTheme="majorBidi"/>
          <w:b/>
          <w:sz w:val="24"/>
          <w:szCs w:val="24"/>
        </w:rPr>
        <w:t xml:space="preserve">Invite </w:t>
      </w:r>
      <w:r>
        <w:rPr>
          <w:rFonts w:asciiTheme="majorBidi" w:hAnsiTheme="majorBidi"/>
          <w:sz w:val="24"/>
          <w:szCs w:val="24"/>
        </w:rPr>
        <w:t>le SESRIC à continuer d’organiser régulièrement des événements parallèles thématiques en marge des prochaines sessions de la Commission statistique des Nations Unies, ainsi que des réunions du Comité de suivi de l'OIC-StatCom, dont les thèmes seront déterminés conformément aux recommandations de l'OIC-StatCom pour chaque session à venir.</w:t>
      </w:r>
    </w:p>
    <w:p w14:paraId="2E94BE4B" w14:textId="2C92FE39" w:rsidR="00443F18" w:rsidRPr="00710ACA" w:rsidRDefault="00A92EE2" w:rsidP="00F129CB">
      <w:pPr>
        <w:pStyle w:val="ListParagraph"/>
        <w:numPr>
          <w:ilvl w:val="0"/>
          <w:numId w:val="1"/>
        </w:numPr>
        <w:spacing w:before="120"/>
        <w:ind w:left="851" w:hanging="578"/>
        <w:contextualSpacing w:val="0"/>
        <w:jc w:val="both"/>
        <w:rPr>
          <w:rFonts w:asciiTheme="majorBidi" w:hAnsiTheme="majorBidi" w:cstheme="majorBidi"/>
          <w:b/>
          <w:sz w:val="24"/>
          <w:szCs w:val="24"/>
        </w:rPr>
      </w:pPr>
      <w:r>
        <w:rPr>
          <w:rFonts w:asciiTheme="majorBidi" w:hAnsiTheme="majorBidi"/>
          <w:b/>
          <w:sz w:val="24"/>
          <w:szCs w:val="24"/>
        </w:rPr>
        <w:t>Se félicite</w:t>
      </w:r>
      <w:r>
        <w:rPr>
          <w:rFonts w:asciiTheme="majorBidi" w:hAnsiTheme="majorBidi"/>
          <w:sz w:val="24"/>
          <w:szCs w:val="24"/>
        </w:rPr>
        <w:t xml:space="preserve"> de la poursuite par le Secrétariat de la mise en œuvre du programme de renforcement des capacités statistiques (StatCaB) du SESRIC, qui a jusqu'à présent mené 560 activités statistiques dans un esprit de coopération intra-OCI ; </w:t>
      </w:r>
      <w:r>
        <w:rPr>
          <w:rFonts w:asciiTheme="majorBidi" w:hAnsiTheme="majorBidi"/>
          <w:b/>
          <w:sz w:val="24"/>
          <w:szCs w:val="24"/>
        </w:rPr>
        <w:t>exhorte</w:t>
      </w:r>
      <w:r>
        <w:rPr>
          <w:rFonts w:asciiTheme="majorBidi" w:hAnsiTheme="majorBidi"/>
          <w:sz w:val="24"/>
          <w:szCs w:val="24"/>
        </w:rPr>
        <w:t xml:space="preserve"> les membres à compléter le questionnaire bisannuel (2026-2027) et à y contribuer en tant que fournisseurs et bénéficiaires ; </w:t>
      </w:r>
      <w:r>
        <w:rPr>
          <w:rFonts w:asciiTheme="majorBidi" w:hAnsiTheme="majorBidi"/>
          <w:b/>
          <w:sz w:val="24"/>
          <w:szCs w:val="24"/>
        </w:rPr>
        <w:t>demande</w:t>
      </w:r>
      <w:r>
        <w:rPr>
          <w:rFonts w:asciiTheme="majorBidi" w:hAnsiTheme="majorBidi"/>
          <w:sz w:val="24"/>
          <w:szCs w:val="24"/>
        </w:rPr>
        <w:t xml:space="preserve"> au Secrétariat de maintenir une approche orientée vers les résultats tout en élargissant la couverture des indicateurs liés aux objectifs de développement durable et des ressources disponibles en ligne.</w:t>
      </w:r>
    </w:p>
    <w:p w14:paraId="0DF7CA60" w14:textId="1E2F8D2D" w:rsidR="002E3ABF" w:rsidRPr="00CE1D80" w:rsidRDefault="00181949" w:rsidP="00CE1D80">
      <w:pPr>
        <w:pStyle w:val="ListParagraph"/>
        <w:numPr>
          <w:ilvl w:val="0"/>
          <w:numId w:val="1"/>
        </w:numPr>
        <w:spacing w:before="120"/>
        <w:ind w:left="851" w:hanging="578"/>
        <w:contextualSpacing w:val="0"/>
        <w:jc w:val="both"/>
        <w:rPr>
          <w:rFonts w:asciiTheme="majorBidi" w:hAnsiTheme="majorBidi"/>
          <w:sz w:val="24"/>
          <w:szCs w:val="24"/>
        </w:rPr>
      </w:pPr>
      <w:r w:rsidRPr="00CE1D80">
        <w:rPr>
          <w:rFonts w:asciiTheme="majorBidi" w:hAnsiTheme="majorBidi"/>
          <w:b/>
          <w:bCs/>
          <w:sz w:val="24"/>
          <w:szCs w:val="24"/>
        </w:rPr>
        <w:t>Salue</w:t>
      </w:r>
      <w:r w:rsidRPr="00CE1D80">
        <w:rPr>
          <w:rFonts w:asciiTheme="majorBidi" w:hAnsiTheme="majorBidi"/>
          <w:sz w:val="24"/>
          <w:szCs w:val="24"/>
        </w:rPr>
        <w:t xml:space="preserve"> les efforts du SESRIC visant à soutenir les ONS des pays membres de l'OCI à travers le projet sur “l'intégration des questions sur le tabagisme pour les enquêtes (TQS) et TQS-Jeunes dans les enquêtes nationales dans les pays membres de l'OCI” ; </w:t>
      </w:r>
      <w:bookmarkStart w:id="1" w:name="OLE_LINK5"/>
      <w:bookmarkStart w:id="2" w:name="OLE_LINK6"/>
      <w:r w:rsidRPr="00CE1D80">
        <w:rPr>
          <w:rFonts w:asciiTheme="majorBidi" w:hAnsiTheme="majorBidi"/>
          <w:b/>
          <w:bCs/>
          <w:sz w:val="24"/>
          <w:szCs w:val="24"/>
        </w:rPr>
        <w:t>encourage</w:t>
      </w:r>
      <w:r w:rsidRPr="00CE1D80">
        <w:rPr>
          <w:rFonts w:asciiTheme="majorBidi" w:hAnsiTheme="majorBidi"/>
          <w:sz w:val="24"/>
          <w:szCs w:val="24"/>
        </w:rPr>
        <w:t xml:space="preserve"> le SESRIC à poursuivre et à étendre cette initiative importante ; et </w:t>
      </w:r>
      <w:r w:rsidRPr="00CE1D80">
        <w:rPr>
          <w:rFonts w:asciiTheme="majorBidi" w:hAnsiTheme="majorBidi"/>
          <w:b/>
          <w:bCs/>
          <w:sz w:val="24"/>
          <w:szCs w:val="24"/>
        </w:rPr>
        <w:t>appelle</w:t>
      </w:r>
      <w:r w:rsidRPr="00CE1D80">
        <w:rPr>
          <w:rFonts w:asciiTheme="majorBidi" w:hAnsiTheme="majorBidi"/>
          <w:sz w:val="24"/>
          <w:szCs w:val="24"/>
        </w:rPr>
        <w:t xml:space="preserve"> le SESRIC à collaborer davantage avec les parties prenantes nationales et internationales pertinentes afin de promouvoir et de soutenir les initiatives visant à lutter contre le tabagisme et à renforcer les politiques de lutte antitabac fondées sur des données probantes dans les pays de l'OCI.</w:t>
      </w:r>
    </w:p>
    <w:p w14:paraId="10BC2B67" w14:textId="42B447D7" w:rsidR="002E3ABF" w:rsidRPr="002E3ABF" w:rsidRDefault="002E3ABF" w:rsidP="00F129CB">
      <w:pPr>
        <w:numPr>
          <w:ilvl w:val="0"/>
          <w:numId w:val="1"/>
        </w:numPr>
        <w:spacing w:before="120"/>
        <w:ind w:left="851" w:hanging="567"/>
        <w:jc w:val="both"/>
        <w:rPr>
          <w:rFonts w:asciiTheme="majorBidi" w:hAnsiTheme="majorBidi" w:cstheme="majorBidi"/>
          <w:sz w:val="24"/>
          <w:szCs w:val="24"/>
        </w:rPr>
      </w:pPr>
      <w:r>
        <w:rPr>
          <w:rStyle w:val="Strong"/>
          <w:rFonts w:asciiTheme="majorBidi" w:hAnsiTheme="majorBidi"/>
          <w:sz w:val="24"/>
          <w:szCs w:val="24"/>
        </w:rPr>
        <w:t>Encourage</w:t>
      </w:r>
      <w:r>
        <w:rPr>
          <w:rFonts w:asciiTheme="majorBidi" w:hAnsiTheme="majorBidi"/>
          <w:sz w:val="24"/>
          <w:szCs w:val="24"/>
        </w:rPr>
        <w:t xml:space="preserve"> la poursuite de l'amélioration de la base de données statistiques de l'OCI (OICStat), des pays de l'OCI en chiffres et des outils de données connexes ;</w:t>
      </w:r>
      <w:r>
        <w:rPr>
          <w:rStyle w:val="Strong"/>
          <w:rFonts w:asciiTheme="majorBidi" w:hAnsiTheme="majorBidi"/>
          <w:sz w:val="24"/>
          <w:szCs w:val="24"/>
        </w:rPr>
        <w:t xml:space="preserve"> </w:t>
      </w:r>
      <w:r w:rsidR="00CE1D80">
        <w:rPr>
          <w:rStyle w:val="Strong"/>
          <w:rFonts w:asciiTheme="majorBidi" w:hAnsiTheme="majorBidi"/>
          <w:sz w:val="24"/>
          <w:szCs w:val="24"/>
        </w:rPr>
        <w:t>invite</w:t>
      </w:r>
      <w:r w:rsidR="00CE1D80">
        <w:rPr>
          <w:rFonts w:asciiTheme="majorBidi" w:hAnsiTheme="majorBidi"/>
          <w:sz w:val="24"/>
          <w:szCs w:val="24"/>
        </w:rPr>
        <w:t xml:space="preserve"> les</w:t>
      </w:r>
      <w:r>
        <w:rPr>
          <w:rFonts w:asciiTheme="majorBidi" w:hAnsiTheme="majorBidi"/>
          <w:sz w:val="24"/>
          <w:szCs w:val="24"/>
        </w:rPr>
        <w:t xml:space="preserve"> membres à vérifier régulièrement les informations nationales et à soutenir la collecte de données institutionnelles afin d'améliorer la précision et la facilité d'utilisation.</w:t>
      </w:r>
    </w:p>
    <w:p w14:paraId="27E52A59" w14:textId="1CCC8E00" w:rsidR="002E3ABF" w:rsidRDefault="002E3ABF" w:rsidP="00F129CB">
      <w:pPr>
        <w:numPr>
          <w:ilvl w:val="0"/>
          <w:numId w:val="1"/>
        </w:numPr>
        <w:spacing w:before="120"/>
        <w:ind w:left="851" w:hanging="567"/>
        <w:jc w:val="both"/>
        <w:rPr>
          <w:rFonts w:asciiTheme="majorBidi" w:hAnsiTheme="majorBidi" w:cstheme="majorBidi"/>
          <w:sz w:val="24"/>
          <w:szCs w:val="24"/>
        </w:rPr>
      </w:pPr>
      <w:r>
        <w:rPr>
          <w:rFonts w:asciiTheme="majorBidi" w:hAnsiTheme="majorBidi"/>
          <w:b/>
          <w:bCs/>
          <w:sz w:val="24"/>
          <w:szCs w:val="24"/>
        </w:rPr>
        <w:t xml:space="preserve">Souligne </w:t>
      </w:r>
      <w:r>
        <w:rPr>
          <w:rFonts w:asciiTheme="majorBidi" w:hAnsiTheme="majorBidi"/>
          <w:sz w:val="24"/>
          <w:szCs w:val="24"/>
        </w:rPr>
        <w:t xml:space="preserve">le rôle central que jouent les ONS dans la compilation de statistiques et de comptes énergétiques fiables et comparables afin de soutenir le développement à faible intensité de carbone et le suivi de l'ODD 7 ; </w:t>
      </w:r>
      <w:r>
        <w:rPr>
          <w:rFonts w:asciiTheme="majorBidi" w:hAnsiTheme="majorBidi"/>
          <w:b/>
          <w:bCs/>
          <w:sz w:val="24"/>
          <w:szCs w:val="24"/>
        </w:rPr>
        <w:t>encourage</w:t>
      </w:r>
      <w:r>
        <w:rPr>
          <w:rFonts w:asciiTheme="majorBidi" w:hAnsiTheme="majorBidi"/>
          <w:sz w:val="24"/>
          <w:szCs w:val="24"/>
        </w:rPr>
        <w:t xml:space="preserve"> les membres à renforcer les accords institutionnels de partage des données avec les ministères de l'énergie, les régulateurs et les services publics, et à intégrer les sources administratives, </w:t>
      </w:r>
      <w:r>
        <w:rPr>
          <w:rFonts w:asciiTheme="majorBidi" w:hAnsiTheme="majorBidi"/>
          <w:sz w:val="24"/>
          <w:szCs w:val="24"/>
        </w:rPr>
        <w:lastRenderedPageBreak/>
        <w:t xml:space="preserve">géospatiales et les nouvelles sources de mégadonnées </w:t>
      </w:r>
      <w:r w:rsidR="00CE1D80">
        <w:rPr>
          <w:rFonts w:asciiTheme="majorBidi" w:hAnsiTheme="majorBidi"/>
          <w:sz w:val="24"/>
          <w:szCs w:val="24"/>
        </w:rPr>
        <w:t xml:space="preserve">(Big Data) </w:t>
      </w:r>
      <w:r>
        <w:rPr>
          <w:rFonts w:asciiTheme="majorBidi" w:hAnsiTheme="majorBidi"/>
          <w:sz w:val="24"/>
          <w:szCs w:val="24"/>
        </w:rPr>
        <w:t>dans la production régulière ; et demande au Secrétariat de coordonner l'organisation des activités avec les organisations internationales concernées.</w:t>
      </w:r>
    </w:p>
    <w:p w14:paraId="4DDC2651" w14:textId="6644A171" w:rsidR="002E3ABF" w:rsidRDefault="002E3ABF" w:rsidP="00CE1D80">
      <w:pPr>
        <w:numPr>
          <w:ilvl w:val="0"/>
          <w:numId w:val="1"/>
        </w:numPr>
        <w:spacing w:before="120" w:line="264" w:lineRule="auto"/>
        <w:ind w:left="850" w:hanging="562"/>
        <w:jc w:val="both"/>
        <w:rPr>
          <w:rFonts w:asciiTheme="majorBidi" w:hAnsiTheme="majorBidi" w:cstheme="majorBidi"/>
          <w:sz w:val="24"/>
          <w:szCs w:val="24"/>
        </w:rPr>
      </w:pPr>
      <w:r>
        <w:rPr>
          <w:rFonts w:asciiTheme="majorBidi" w:hAnsiTheme="majorBidi"/>
          <w:b/>
          <w:bCs/>
          <w:sz w:val="24"/>
          <w:szCs w:val="24"/>
        </w:rPr>
        <w:t xml:space="preserve">Appelle </w:t>
      </w:r>
      <w:r>
        <w:rPr>
          <w:rFonts w:asciiTheme="majorBidi" w:hAnsiTheme="majorBidi"/>
          <w:sz w:val="24"/>
          <w:szCs w:val="24"/>
        </w:rPr>
        <w:t xml:space="preserve">à l'élaboration de feuilles de route globales de modernisation, couvrant les processus, la gouvernance, les compétences et les infrastructures des TIC, afin d'accélérer la numérisation dans tous les NSS ; </w:t>
      </w:r>
      <w:r>
        <w:rPr>
          <w:rFonts w:asciiTheme="majorBidi" w:hAnsiTheme="majorBidi"/>
          <w:b/>
          <w:bCs/>
          <w:sz w:val="24"/>
          <w:szCs w:val="24"/>
        </w:rPr>
        <w:t>recommande</w:t>
      </w:r>
      <w:r>
        <w:rPr>
          <w:rFonts w:asciiTheme="majorBidi" w:hAnsiTheme="majorBidi"/>
          <w:sz w:val="24"/>
          <w:szCs w:val="24"/>
        </w:rPr>
        <w:t xml:space="preserve"> l'adoption de cadres et règles internationalement reconnus pour une production efficace et fondée sur des normes ; et </w:t>
      </w:r>
      <w:r>
        <w:rPr>
          <w:rFonts w:asciiTheme="majorBidi" w:hAnsiTheme="majorBidi"/>
          <w:b/>
          <w:bCs/>
          <w:sz w:val="24"/>
          <w:szCs w:val="24"/>
        </w:rPr>
        <w:t>invite</w:t>
      </w:r>
      <w:r>
        <w:rPr>
          <w:rFonts w:asciiTheme="majorBidi" w:hAnsiTheme="majorBidi"/>
          <w:sz w:val="24"/>
          <w:szCs w:val="24"/>
        </w:rPr>
        <w:t xml:space="preserve"> à mobiliser des ressources pour soutenir l'échange sécurisé de données, les mesures de confidentialité dès la conception et les mises à jour législatives qui favorisent l'innovation.</w:t>
      </w:r>
    </w:p>
    <w:p w14:paraId="7ABB224E" w14:textId="10E2E29C" w:rsidR="002E3ABF" w:rsidRDefault="002E3ABF" w:rsidP="00CE1D80">
      <w:pPr>
        <w:numPr>
          <w:ilvl w:val="0"/>
          <w:numId w:val="1"/>
        </w:numPr>
        <w:spacing w:before="120" w:line="264" w:lineRule="auto"/>
        <w:ind w:left="850" w:hanging="562"/>
        <w:jc w:val="both"/>
        <w:rPr>
          <w:rFonts w:asciiTheme="majorBidi" w:hAnsiTheme="majorBidi" w:cstheme="majorBidi"/>
          <w:sz w:val="24"/>
          <w:szCs w:val="24"/>
        </w:rPr>
      </w:pPr>
      <w:r>
        <w:rPr>
          <w:rFonts w:asciiTheme="majorBidi" w:hAnsiTheme="majorBidi"/>
          <w:b/>
          <w:bCs/>
          <w:sz w:val="24"/>
          <w:szCs w:val="24"/>
        </w:rPr>
        <w:t xml:space="preserve">Souligne </w:t>
      </w:r>
      <w:r>
        <w:rPr>
          <w:rFonts w:asciiTheme="majorBidi" w:hAnsiTheme="majorBidi"/>
          <w:sz w:val="24"/>
          <w:szCs w:val="24"/>
        </w:rPr>
        <w:t xml:space="preserve">l'importance de la conformité avec le cadre mondial des indicateurs de l'ODD 4 et les méthodologies associées afin de garantir la comparabilité et la pertinence des politiques ; invite à collaborer avec l'UNESCO-ISU, la DSNU et les partenaires régionaux et internationaux concernés afin de renforcer les écosystèmes de données sur l'éducation, notamment les sources administratives, les enquêtes et les évaluations de l'apprentissage ; et </w:t>
      </w:r>
      <w:r>
        <w:rPr>
          <w:rFonts w:asciiTheme="majorBidi" w:hAnsiTheme="majorBidi"/>
          <w:b/>
          <w:bCs/>
          <w:sz w:val="24"/>
          <w:szCs w:val="24"/>
        </w:rPr>
        <w:t>demande</w:t>
      </w:r>
      <w:r>
        <w:rPr>
          <w:rFonts w:asciiTheme="majorBidi" w:hAnsiTheme="majorBidi"/>
          <w:sz w:val="24"/>
          <w:szCs w:val="24"/>
        </w:rPr>
        <w:t xml:space="preserve"> au Secrétariat de coordonner les activités ciblées de StatCaB sur la mesure et la communication des données relatives à l'ODD 4.</w:t>
      </w:r>
      <w:bookmarkEnd w:id="1"/>
      <w:bookmarkEnd w:id="2"/>
    </w:p>
    <w:p w14:paraId="3CE7DB54" w14:textId="77777777" w:rsidR="002E3ABF" w:rsidRDefault="002E3ABF" w:rsidP="00CE1D80">
      <w:pPr>
        <w:numPr>
          <w:ilvl w:val="0"/>
          <w:numId w:val="1"/>
        </w:numPr>
        <w:spacing w:before="120" w:line="264" w:lineRule="auto"/>
        <w:ind w:left="850" w:hanging="562"/>
        <w:jc w:val="both"/>
        <w:rPr>
          <w:rFonts w:asciiTheme="majorBidi" w:hAnsiTheme="majorBidi" w:cstheme="majorBidi"/>
          <w:sz w:val="24"/>
          <w:szCs w:val="24"/>
        </w:rPr>
      </w:pPr>
      <w:r>
        <w:rPr>
          <w:rFonts w:asciiTheme="majorBidi" w:hAnsiTheme="majorBidi"/>
          <w:b/>
          <w:bCs/>
          <w:sz w:val="24"/>
          <w:szCs w:val="24"/>
        </w:rPr>
        <w:t>Réaffirme</w:t>
      </w:r>
      <w:r>
        <w:rPr>
          <w:rFonts w:asciiTheme="majorBidi" w:hAnsiTheme="majorBidi"/>
          <w:sz w:val="24"/>
          <w:szCs w:val="24"/>
        </w:rPr>
        <w:t xml:space="preserve"> la pertinence des cadres éthiques pour les nouvelles sources de données et technologies, la protection de la vie privée, la garantie de la qualité des données et le renforcement de la confiance du public ; </w:t>
      </w:r>
      <w:r w:rsidRPr="00CE1D80">
        <w:rPr>
          <w:rFonts w:asciiTheme="majorBidi" w:hAnsiTheme="majorBidi"/>
          <w:b/>
          <w:bCs/>
          <w:sz w:val="24"/>
          <w:szCs w:val="24"/>
        </w:rPr>
        <w:t>encourage</w:t>
      </w:r>
      <w:r>
        <w:rPr>
          <w:rFonts w:asciiTheme="majorBidi" w:hAnsiTheme="majorBidi"/>
          <w:sz w:val="24"/>
          <w:szCs w:val="24"/>
        </w:rPr>
        <w:t xml:space="preserve"> les membres et les partenaires à partager les meilleures pratiques et à collaborer à l'élaboration de lignes directrices pour une utilisation responsable de l'IA et des données dans les statistiques officielles.</w:t>
      </w:r>
      <w:r>
        <w:rPr>
          <w:rFonts w:asciiTheme="majorBidi" w:hAnsiTheme="majorBidi"/>
          <w:b/>
          <w:sz w:val="24"/>
          <w:szCs w:val="24"/>
        </w:rPr>
        <w:t xml:space="preserve"> </w:t>
      </w:r>
    </w:p>
    <w:p w14:paraId="7A639110" w14:textId="77777777" w:rsidR="002E3ABF" w:rsidRDefault="002E3ABF" w:rsidP="00CE1D80">
      <w:pPr>
        <w:numPr>
          <w:ilvl w:val="0"/>
          <w:numId w:val="1"/>
        </w:numPr>
        <w:spacing w:before="120" w:line="264" w:lineRule="auto"/>
        <w:ind w:left="850" w:hanging="562"/>
        <w:jc w:val="both"/>
        <w:rPr>
          <w:rFonts w:asciiTheme="majorBidi" w:hAnsiTheme="majorBidi" w:cstheme="majorBidi"/>
          <w:sz w:val="24"/>
          <w:szCs w:val="24"/>
        </w:rPr>
      </w:pPr>
      <w:r>
        <w:rPr>
          <w:rFonts w:asciiTheme="majorBidi" w:hAnsiTheme="majorBidi"/>
          <w:b/>
          <w:bCs/>
          <w:sz w:val="24"/>
          <w:szCs w:val="24"/>
        </w:rPr>
        <w:t>Reconnaît</w:t>
      </w:r>
      <w:r>
        <w:rPr>
          <w:rFonts w:asciiTheme="majorBidi" w:hAnsiTheme="majorBidi"/>
          <w:sz w:val="24"/>
          <w:szCs w:val="24"/>
        </w:rPr>
        <w:t xml:space="preserve"> l'importance des technologies géospatiales et des outils électroniques de collecte de données pour les recensements et les enquêtes ; </w:t>
      </w:r>
      <w:r w:rsidRPr="00CE1D80">
        <w:rPr>
          <w:rFonts w:asciiTheme="majorBidi" w:hAnsiTheme="majorBidi"/>
          <w:b/>
          <w:bCs/>
          <w:sz w:val="24"/>
          <w:szCs w:val="24"/>
        </w:rPr>
        <w:t>encourage</w:t>
      </w:r>
      <w:r>
        <w:rPr>
          <w:rFonts w:asciiTheme="majorBidi" w:hAnsiTheme="majorBidi"/>
          <w:sz w:val="24"/>
          <w:szCs w:val="24"/>
        </w:rPr>
        <w:t xml:space="preserve"> le partage d'expériences et l'échange temporaire d'équipements entre les membres ; </w:t>
      </w:r>
      <w:r w:rsidRPr="00CE1D80">
        <w:rPr>
          <w:rFonts w:asciiTheme="majorBidi" w:hAnsiTheme="majorBidi"/>
          <w:b/>
          <w:bCs/>
          <w:sz w:val="24"/>
          <w:szCs w:val="24"/>
        </w:rPr>
        <w:t>appelle</w:t>
      </w:r>
      <w:r>
        <w:rPr>
          <w:rFonts w:asciiTheme="majorBidi" w:hAnsiTheme="majorBidi"/>
          <w:sz w:val="24"/>
          <w:szCs w:val="24"/>
        </w:rPr>
        <w:t xml:space="preserve"> à la poursuite de la coopération avec les organisations internationales en vue des prochains cycles de recensement.</w:t>
      </w:r>
      <w:r>
        <w:rPr>
          <w:rFonts w:asciiTheme="majorBidi" w:hAnsiTheme="majorBidi"/>
          <w:bCs/>
          <w:sz w:val="24"/>
          <w:szCs w:val="24"/>
        </w:rPr>
        <w:t xml:space="preserve"> </w:t>
      </w:r>
    </w:p>
    <w:p w14:paraId="18065878" w14:textId="5B4763AC" w:rsidR="002E3ABF" w:rsidRDefault="002E3ABF" w:rsidP="00CE1D80">
      <w:pPr>
        <w:numPr>
          <w:ilvl w:val="0"/>
          <w:numId w:val="1"/>
        </w:numPr>
        <w:spacing w:before="120"/>
        <w:ind w:left="851" w:hanging="567"/>
        <w:jc w:val="both"/>
        <w:rPr>
          <w:rFonts w:asciiTheme="majorBidi" w:hAnsiTheme="majorBidi" w:cstheme="majorBidi"/>
          <w:sz w:val="24"/>
          <w:szCs w:val="24"/>
        </w:rPr>
      </w:pPr>
      <w:r>
        <w:rPr>
          <w:rFonts w:asciiTheme="majorBidi" w:hAnsiTheme="majorBidi"/>
          <w:b/>
          <w:bCs/>
          <w:sz w:val="24"/>
          <w:szCs w:val="24"/>
        </w:rPr>
        <w:t>Souligne</w:t>
      </w:r>
      <w:r>
        <w:rPr>
          <w:rFonts w:asciiTheme="majorBidi" w:hAnsiTheme="majorBidi"/>
          <w:sz w:val="24"/>
          <w:szCs w:val="24"/>
        </w:rPr>
        <w:t xml:space="preserve"> les avantages d'une utilisation responsable des sources de données non traditionnelles (telles que les mégadonnées, les informations géospatiales et les applications de science des données) dans les statistiques officielles et </w:t>
      </w:r>
      <w:r>
        <w:rPr>
          <w:rFonts w:asciiTheme="majorBidi" w:hAnsiTheme="majorBidi"/>
          <w:b/>
          <w:bCs/>
          <w:sz w:val="24"/>
          <w:szCs w:val="24"/>
        </w:rPr>
        <w:t>invite</w:t>
      </w:r>
      <w:r>
        <w:rPr>
          <w:rFonts w:asciiTheme="majorBidi" w:hAnsiTheme="majorBidi"/>
          <w:sz w:val="24"/>
          <w:szCs w:val="24"/>
        </w:rPr>
        <w:t xml:space="preserve"> la communauté internationale à fournir des orientations et des études de cas pour soutenir leur intégration dans les méthodes et procédures statistiques.</w:t>
      </w:r>
    </w:p>
    <w:p w14:paraId="0D3E6E58" w14:textId="5855AE6E" w:rsidR="00694F70" w:rsidRPr="00E309FD" w:rsidRDefault="00694F70" w:rsidP="00CE1D80">
      <w:pPr>
        <w:numPr>
          <w:ilvl w:val="0"/>
          <w:numId w:val="1"/>
        </w:numPr>
        <w:spacing w:before="120"/>
        <w:ind w:left="900" w:hanging="630"/>
        <w:jc w:val="both"/>
        <w:rPr>
          <w:rFonts w:asciiTheme="majorBidi" w:hAnsiTheme="majorBidi" w:cstheme="majorBidi"/>
          <w:bCs/>
          <w:sz w:val="24"/>
          <w:szCs w:val="24"/>
        </w:rPr>
      </w:pPr>
      <w:r>
        <w:rPr>
          <w:rFonts w:asciiTheme="majorBidi" w:hAnsiTheme="majorBidi"/>
          <w:b/>
          <w:bCs/>
          <w:sz w:val="24"/>
          <w:szCs w:val="24"/>
        </w:rPr>
        <w:lastRenderedPageBreak/>
        <w:t>Reconnaît</w:t>
      </w:r>
      <w:r>
        <w:rPr>
          <w:rFonts w:asciiTheme="majorBidi" w:hAnsiTheme="majorBidi"/>
          <w:bCs/>
          <w:sz w:val="24"/>
          <w:szCs w:val="24"/>
        </w:rPr>
        <w:t xml:space="preserve"> les bonnes pratiques suivies par les membres de la commission dans différents domaines statistiques et présentées lors des séances techniques, </w:t>
      </w:r>
      <w:r w:rsidR="00CE1D80">
        <w:rPr>
          <w:rFonts w:asciiTheme="majorBidi" w:hAnsiTheme="majorBidi"/>
          <w:bCs/>
          <w:sz w:val="24"/>
          <w:szCs w:val="24"/>
        </w:rPr>
        <w:t xml:space="preserve">et </w:t>
      </w:r>
      <w:r w:rsidR="00CE1D80" w:rsidRPr="00CE1D80">
        <w:rPr>
          <w:rFonts w:asciiTheme="majorBidi" w:hAnsiTheme="majorBidi"/>
          <w:b/>
          <w:sz w:val="24"/>
          <w:szCs w:val="24"/>
        </w:rPr>
        <w:t>invite</w:t>
      </w:r>
      <w:r>
        <w:rPr>
          <w:rFonts w:asciiTheme="majorBidi" w:hAnsiTheme="majorBidi"/>
          <w:bCs/>
          <w:sz w:val="24"/>
          <w:szCs w:val="24"/>
        </w:rPr>
        <w:t xml:space="preserve"> le secrétariat à élaborer un projet visant à documenter et à présenter les principales réussites des ONS de l'OCI au cours de la dernière décennie ; </w:t>
      </w:r>
      <w:r w:rsidR="00CE1D80" w:rsidRPr="00CE1D80">
        <w:rPr>
          <w:rFonts w:asciiTheme="majorBidi" w:hAnsiTheme="majorBidi"/>
          <w:b/>
          <w:sz w:val="24"/>
          <w:szCs w:val="24"/>
        </w:rPr>
        <w:t>e</w:t>
      </w:r>
      <w:r w:rsidRPr="00CE1D80">
        <w:rPr>
          <w:rFonts w:asciiTheme="majorBidi" w:hAnsiTheme="majorBidi"/>
          <w:b/>
          <w:sz w:val="24"/>
          <w:szCs w:val="24"/>
        </w:rPr>
        <w:t>ncourage</w:t>
      </w:r>
      <w:r>
        <w:rPr>
          <w:rFonts w:asciiTheme="majorBidi" w:hAnsiTheme="majorBidi"/>
          <w:bCs/>
          <w:sz w:val="24"/>
          <w:szCs w:val="24"/>
        </w:rPr>
        <w:t xml:space="preserve"> les nouvelles initiatives qui contribuent à la qualité de la production des statistiques officielles que le Secrétariat présentera lors de la prochaine session.</w:t>
      </w:r>
    </w:p>
    <w:p w14:paraId="49882509" w14:textId="51D77CCE" w:rsidR="001E2AB1" w:rsidRPr="001413B8" w:rsidRDefault="001E2AB1" w:rsidP="00CE1D80">
      <w:pPr>
        <w:numPr>
          <w:ilvl w:val="0"/>
          <w:numId w:val="1"/>
        </w:numPr>
        <w:spacing w:before="120"/>
        <w:ind w:left="851" w:hanging="567"/>
        <w:jc w:val="both"/>
        <w:rPr>
          <w:rFonts w:asciiTheme="majorBidi" w:hAnsiTheme="majorBidi" w:cstheme="majorBidi"/>
          <w:sz w:val="24"/>
          <w:szCs w:val="24"/>
        </w:rPr>
      </w:pPr>
      <w:r>
        <w:rPr>
          <w:rFonts w:asciiTheme="majorBidi" w:hAnsiTheme="majorBidi"/>
          <w:b/>
          <w:bCs/>
          <w:sz w:val="24"/>
          <w:szCs w:val="24"/>
        </w:rPr>
        <w:t>Se félicite</w:t>
      </w:r>
      <w:r>
        <w:rPr>
          <w:rFonts w:asciiTheme="majorBidi" w:hAnsiTheme="majorBidi"/>
          <w:sz w:val="24"/>
          <w:szCs w:val="24"/>
        </w:rPr>
        <w:t xml:space="preserve"> des deux événements parallèles organisés pour la première fois en marge de la session, à savoir : la table ronde sur “Les cinq premières années du TOSSD : suivre le soutien aux ODD et aider à surveiller la coopération internationale au développement sous toutes ses formes”, tenue au siège du SESRIC, à la bibliothèque Al-Aqsa, le 1er octobre 2025 ; et l'événement parallèle organisé par l'Institut turc de statistique (TURKSTAT) à son siège le 3 octobre 2025, qui constituent deux plateformes utiles pour le partage des connaissances et la création de partenariats ; </w:t>
      </w:r>
      <w:r>
        <w:rPr>
          <w:rFonts w:asciiTheme="majorBidi" w:hAnsiTheme="majorBidi"/>
          <w:b/>
          <w:sz w:val="24"/>
          <w:szCs w:val="24"/>
        </w:rPr>
        <w:t>remerci</w:t>
      </w:r>
      <w:r w:rsidR="00CE1D80">
        <w:rPr>
          <w:rFonts w:asciiTheme="majorBidi" w:hAnsiTheme="majorBidi"/>
          <w:b/>
          <w:sz w:val="24"/>
          <w:szCs w:val="24"/>
        </w:rPr>
        <w:t>e</w:t>
      </w:r>
      <w:r>
        <w:rPr>
          <w:rFonts w:asciiTheme="majorBidi" w:hAnsiTheme="majorBidi"/>
          <w:sz w:val="24"/>
          <w:szCs w:val="24"/>
        </w:rPr>
        <w:t xml:space="preserve"> la Türkiye, le Secrétariat du Forum international sur l'aide publique totale au développement durable (IFT) et la Banque islamique de développement d'avoir accueilli et coorganisé ces événements parallèles ; et </w:t>
      </w:r>
      <w:r>
        <w:rPr>
          <w:rFonts w:asciiTheme="majorBidi" w:hAnsiTheme="majorBidi"/>
          <w:b/>
          <w:bCs/>
          <w:sz w:val="24"/>
          <w:szCs w:val="24"/>
        </w:rPr>
        <w:t>demande</w:t>
      </w:r>
      <w:r>
        <w:rPr>
          <w:rFonts w:asciiTheme="majorBidi" w:hAnsiTheme="majorBidi"/>
          <w:sz w:val="24"/>
          <w:szCs w:val="24"/>
        </w:rPr>
        <w:t xml:space="preserve"> au Secrétariat de continuer à faciliter et à soutenir l'organisation de tels événements parallèles en coordination avec les pays membres et les partenaires concernés.</w:t>
      </w:r>
      <w:r>
        <w:rPr>
          <w:rFonts w:asciiTheme="majorBidi" w:hAnsiTheme="majorBidi"/>
          <w:b/>
          <w:bCs/>
          <w:sz w:val="24"/>
          <w:szCs w:val="24"/>
        </w:rPr>
        <w:t xml:space="preserve"> </w:t>
      </w:r>
    </w:p>
    <w:p w14:paraId="711AECDC" w14:textId="16728E03" w:rsidR="00181949" w:rsidRPr="00181949" w:rsidRDefault="00181949" w:rsidP="00F129CB">
      <w:pPr>
        <w:numPr>
          <w:ilvl w:val="0"/>
          <w:numId w:val="1"/>
        </w:numPr>
        <w:spacing w:before="120"/>
        <w:ind w:left="851" w:hanging="567"/>
        <w:jc w:val="both"/>
        <w:rPr>
          <w:rFonts w:asciiTheme="majorBidi" w:hAnsiTheme="majorBidi" w:cstheme="majorBidi"/>
          <w:sz w:val="24"/>
          <w:szCs w:val="24"/>
        </w:rPr>
      </w:pPr>
      <w:r>
        <w:rPr>
          <w:rFonts w:asciiTheme="majorBidi" w:hAnsiTheme="majorBidi"/>
          <w:b/>
          <w:sz w:val="24"/>
          <w:szCs w:val="24"/>
        </w:rPr>
        <w:t>Souligne</w:t>
      </w:r>
      <w:r>
        <w:rPr>
          <w:rFonts w:asciiTheme="majorBidi" w:hAnsiTheme="majorBidi"/>
          <w:sz w:val="24"/>
          <w:szCs w:val="24"/>
        </w:rPr>
        <w:t xml:space="preserve"> l'importance des statistiques sur le financement du développement pour mettre en évidence la coopération Sud-Sud et la coopération triangulaire ainsi que le financement islamique, et </w:t>
      </w:r>
      <w:r w:rsidRPr="00CE1D80">
        <w:rPr>
          <w:rFonts w:asciiTheme="majorBidi" w:hAnsiTheme="majorBidi"/>
          <w:b/>
          <w:bCs/>
          <w:sz w:val="24"/>
          <w:szCs w:val="24"/>
        </w:rPr>
        <w:t>invite</w:t>
      </w:r>
      <w:r>
        <w:rPr>
          <w:rFonts w:asciiTheme="majorBidi" w:hAnsiTheme="majorBidi"/>
          <w:sz w:val="24"/>
          <w:szCs w:val="24"/>
        </w:rPr>
        <w:t xml:space="preserve"> les membres à participer autant que possible au cadre du soutien public total au développemen</w:t>
      </w:r>
      <w:r w:rsidR="00CE1D80">
        <w:rPr>
          <w:rFonts w:asciiTheme="majorBidi" w:hAnsiTheme="majorBidi"/>
          <w:sz w:val="24"/>
          <w:szCs w:val="24"/>
        </w:rPr>
        <w:t xml:space="preserve">t durable (TOSSD) et à l'IFT ; </w:t>
      </w:r>
      <w:r>
        <w:rPr>
          <w:rFonts w:asciiTheme="majorBidi" w:hAnsiTheme="majorBidi"/>
          <w:b/>
          <w:sz w:val="24"/>
          <w:szCs w:val="24"/>
        </w:rPr>
        <w:t xml:space="preserve">souligne également </w:t>
      </w:r>
      <w:r>
        <w:rPr>
          <w:rFonts w:asciiTheme="majorBidi" w:hAnsiTheme="majorBidi"/>
          <w:sz w:val="24"/>
          <w:szCs w:val="24"/>
        </w:rPr>
        <w:t>la nécessité de renforcer les capacités statistiques nationales dans le cadre du Système de comptabilité nationale 2025, en collaboration avec le SESRIC, le Groupe de la Banque islamique de développement et les organisations internationales concernées.</w:t>
      </w:r>
    </w:p>
    <w:p w14:paraId="47571861" w14:textId="780C4F00" w:rsidR="002E3ABF" w:rsidRPr="00EB1A31" w:rsidRDefault="002E3ABF" w:rsidP="00CE1D80">
      <w:pPr>
        <w:numPr>
          <w:ilvl w:val="0"/>
          <w:numId w:val="1"/>
        </w:numPr>
        <w:spacing w:before="120"/>
        <w:ind w:left="851" w:hanging="567"/>
        <w:jc w:val="both"/>
        <w:rPr>
          <w:rFonts w:asciiTheme="majorBidi" w:hAnsiTheme="majorBidi" w:cstheme="majorBidi"/>
          <w:sz w:val="24"/>
          <w:szCs w:val="24"/>
        </w:rPr>
      </w:pPr>
      <w:r>
        <w:rPr>
          <w:rFonts w:asciiTheme="majorBidi" w:hAnsiTheme="majorBidi"/>
          <w:b/>
          <w:bCs/>
          <w:sz w:val="24"/>
          <w:szCs w:val="24"/>
        </w:rPr>
        <w:t>Réaffirme</w:t>
      </w:r>
      <w:r>
        <w:rPr>
          <w:rFonts w:asciiTheme="majorBidi" w:hAnsiTheme="majorBidi"/>
          <w:sz w:val="24"/>
          <w:szCs w:val="24"/>
        </w:rPr>
        <w:t xml:space="preserve"> l'importance majeure de protéger les données et les infrastructures statistiques en cas de crise et de conflit ; </w:t>
      </w:r>
      <w:r>
        <w:rPr>
          <w:rFonts w:asciiTheme="majorBidi" w:hAnsiTheme="majorBidi"/>
          <w:b/>
          <w:sz w:val="24"/>
          <w:szCs w:val="24"/>
        </w:rPr>
        <w:t>invite</w:t>
      </w:r>
      <w:r>
        <w:rPr>
          <w:rFonts w:asciiTheme="majorBidi" w:hAnsiTheme="majorBidi"/>
          <w:sz w:val="24"/>
          <w:szCs w:val="24"/>
        </w:rPr>
        <w:t xml:space="preserve"> le SESRIC à organiser un atelier pour échanger des expériences sur les stratégies de protection, de continuité et de récupération des données ; </w:t>
      </w:r>
      <w:r w:rsidR="00CE1D80">
        <w:rPr>
          <w:rFonts w:asciiTheme="majorBidi" w:hAnsiTheme="majorBidi"/>
          <w:b/>
          <w:bCs/>
          <w:sz w:val="24"/>
          <w:szCs w:val="24"/>
        </w:rPr>
        <w:t>appelle</w:t>
      </w:r>
      <w:r>
        <w:rPr>
          <w:rFonts w:asciiTheme="majorBidi" w:hAnsiTheme="majorBidi"/>
          <w:sz w:val="24"/>
          <w:szCs w:val="24"/>
        </w:rPr>
        <w:t xml:space="preserve"> les membres et les partenaires à coopérer pour renforcer la résilience des systèmes statistiques nationaux.</w:t>
      </w:r>
      <w:r>
        <w:rPr>
          <w:rFonts w:asciiTheme="majorBidi" w:hAnsiTheme="majorBidi"/>
          <w:b/>
          <w:sz w:val="24"/>
          <w:szCs w:val="24"/>
        </w:rPr>
        <w:t xml:space="preserve"> </w:t>
      </w:r>
    </w:p>
    <w:p w14:paraId="0B3F9A7B" w14:textId="77777777" w:rsidR="00EB1A31" w:rsidRPr="002E3ABF" w:rsidRDefault="00EB1A31" w:rsidP="00EB1A31">
      <w:pPr>
        <w:spacing w:before="120"/>
        <w:ind w:left="851"/>
        <w:jc w:val="both"/>
        <w:rPr>
          <w:rFonts w:asciiTheme="majorBidi" w:hAnsiTheme="majorBidi" w:cstheme="majorBidi"/>
          <w:sz w:val="24"/>
          <w:szCs w:val="24"/>
        </w:rPr>
      </w:pPr>
    </w:p>
    <w:p w14:paraId="64E498A4" w14:textId="6E31CC77" w:rsidR="00EA5DD4" w:rsidRPr="00710ACA" w:rsidRDefault="00EB1A31" w:rsidP="00EA5DD4">
      <w:pPr>
        <w:pStyle w:val="ListParagraph"/>
        <w:numPr>
          <w:ilvl w:val="0"/>
          <w:numId w:val="1"/>
        </w:numPr>
        <w:spacing w:before="120" w:after="240"/>
        <w:ind w:left="900" w:hanging="630"/>
        <w:contextualSpacing w:val="0"/>
        <w:jc w:val="both"/>
        <w:rPr>
          <w:rFonts w:asciiTheme="majorBidi" w:hAnsiTheme="majorBidi" w:cstheme="majorBidi"/>
          <w:sz w:val="24"/>
          <w:szCs w:val="24"/>
        </w:rPr>
      </w:pPr>
      <w:r>
        <w:rPr>
          <w:rFonts w:asciiTheme="majorBidi" w:hAnsiTheme="majorBidi"/>
          <w:b/>
          <w:bCs/>
          <w:iCs/>
          <w:sz w:val="24"/>
          <w:szCs w:val="24"/>
        </w:rPr>
        <w:lastRenderedPageBreak/>
        <w:t>Exprime</w:t>
      </w:r>
      <w:r w:rsidR="00EA5DD4">
        <w:rPr>
          <w:rFonts w:asciiTheme="majorBidi" w:hAnsiTheme="majorBidi"/>
          <w:sz w:val="24"/>
          <w:szCs w:val="24"/>
        </w:rPr>
        <w:t xml:space="preserve"> sa gratitude aux membres du Bureau de la 13ème session (composé d'Oman en tant que président, et de l'Azerbaïdjan et du Sénégal en tant que vice-présidents) ; </w:t>
      </w:r>
      <w:r w:rsidR="00EC7567">
        <w:rPr>
          <w:rFonts w:asciiTheme="majorBidi" w:hAnsiTheme="majorBidi"/>
          <w:sz w:val="24"/>
          <w:szCs w:val="24"/>
        </w:rPr>
        <w:t>félicite les</w:t>
      </w:r>
      <w:r w:rsidR="00EA5DD4">
        <w:rPr>
          <w:rFonts w:asciiTheme="majorBidi" w:hAnsiTheme="majorBidi"/>
          <w:sz w:val="24"/>
          <w:szCs w:val="24"/>
        </w:rPr>
        <w:t xml:space="preserve"> membres du Bureau de la 14ème session de l'OIC-StatCom, composé de la </w:t>
      </w:r>
      <w:r w:rsidR="00EA5DD4">
        <w:rPr>
          <w:rFonts w:asciiTheme="majorBidi" w:hAnsiTheme="majorBidi"/>
          <w:b/>
          <w:bCs/>
          <w:sz w:val="24"/>
          <w:szCs w:val="24"/>
        </w:rPr>
        <w:t>Türkiye</w:t>
      </w:r>
      <w:r w:rsidR="00EA5DD4">
        <w:rPr>
          <w:rFonts w:asciiTheme="majorBidi" w:hAnsiTheme="majorBidi"/>
          <w:sz w:val="24"/>
          <w:szCs w:val="24"/>
        </w:rPr>
        <w:t xml:space="preserve"> en tant que président, de la </w:t>
      </w:r>
      <w:r w:rsidR="00EA5DD4">
        <w:rPr>
          <w:rFonts w:asciiTheme="majorBidi" w:hAnsiTheme="majorBidi"/>
          <w:b/>
          <w:sz w:val="24"/>
          <w:szCs w:val="24"/>
        </w:rPr>
        <w:t xml:space="preserve">Guinée </w:t>
      </w:r>
      <w:r w:rsidR="00EA5DD4">
        <w:rPr>
          <w:rFonts w:asciiTheme="majorBidi" w:hAnsiTheme="majorBidi"/>
          <w:sz w:val="24"/>
          <w:szCs w:val="24"/>
        </w:rPr>
        <w:t>et de l’</w:t>
      </w:r>
      <w:bookmarkStart w:id="3" w:name="_GoBack"/>
      <w:bookmarkEnd w:id="3"/>
      <w:r w:rsidR="00EA5DD4">
        <w:rPr>
          <w:rFonts w:asciiTheme="majorBidi" w:hAnsiTheme="majorBidi"/>
          <w:b/>
          <w:sz w:val="24"/>
          <w:szCs w:val="24"/>
        </w:rPr>
        <w:t xml:space="preserve">Égypte </w:t>
      </w:r>
      <w:r w:rsidR="00EA5DD4">
        <w:rPr>
          <w:rFonts w:asciiTheme="majorBidi" w:hAnsiTheme="majorBidi"/>
          <w:sz w:val="24"/>
          <w:szCs w:val="24"/>
        </w:rPr>
        <w:t xml:space="preserve"> en tant que vice-présidents, ainsi que de la  </w:t>
      </w:r>
      <w:r w:rsidR="00EA5DD4">
        <w:rPr>
          <w:rFonts w:asciiTheme="majorBidi" w:hAnsiTheme="majorBidi"/>
          <w:b/>
          <w:bCs/>
          <w:sz w:val="24"/>
          <w:szCs w:val="24"/>
        </w:rPr>
        <w:t>Palestine</w:t>
      </w:r>
      <w:r w:rsidR="00EA5DD4">
        <w:rPr>
          <w:rFonts w:asciiTheme="majorBidi" w:hAnsiTheme="majorBidi"/>
          <w:sz w:val="24"/>
          <w:szCs w:val="24"/>
        </w:rPr>
        <w:t xml:space="preserve"> en tant que vice-président permanent, pour leurs  importante contributions et leur gestion efficace des deux sessions ;</w:t>
      </w:r>
    </w:p>
    <w:p w14:paraId="7AB44619" w14:textId="03C08E96" w:rsidR="002E3ABF" w:rsidRPr="002E3ABF" w:rsidRDefault="008A636C" w:rsidP="008A636C">
      <w:pPr>
        <w:numPr>
          <w:ilvl w:val="0"/>
          <w:numId w:val="1"/>
        </w:numPr>
        <w:spacing w:before="120"/>
        <w:ind w:left="851" w:hanging="567"/>
        <w:jc w:val="both"/>
        <w:rPr>
          <w:rFonts w:asciiTheme="majorBidi" w:hAnsiTheme="majorBidi" w:cstheme="majorBidi"/>
          <w:sz w:val="24"/>
          <w:szCs w:val="24"/>
        </w:rPr>
      </w:pPr>
      <w:r>
        <w:rPr>
          <w:rFonts w:asciiTheme="majorBidi" w:hAnsiTheme="majorBidi"/>
          <w:b/>
          <w:bCs/>
          <w:sz w:val="24"/>
          <w:szCs w:val="24"/>
        </w:rPr>
        <w:t>Accueille</w:t>
      </w:r>
      <w:r>
        <w:rPr>
          <w:rFonts w:asciiTheme="majorBidi" w:hAnsiTheme="majorBidi"/>
          <w:sz w:val="24"/>
          <w:szCs w:val="24"/>
        </w:rPr>
        <w:t xml:space="preserve"> favorablement la proposition de l'Arabie saoudite d'accueillir la 15</w:t>
      </w:r>
      <w:r w:rsidR="00EB1A31">
        <w:rPr>
          <w:rFonts w:asciiTheme="majorBidi" w:hAnsiTheme="majorBidi"/>
          <w:sz w:val="24"/>
          <w:szCs w:val="24"/>
        </w:rPr>
        <w:t>ème session</w:t>
      </w:r>
      <w:r>
        <w:rPr>
          <w:rFonts w:asciiTheme="majorBidi" w:hAnsiTheme="majorBidi"/>
          <w:sz w:val="24"/>
          <w:szCs w:val="24"/>
        </w:rPr>
        <w:t xml:space="preserve"> de l'OIC-StatCom en septembre 2026 à Djeddah, et </w:t>
      </w:r>
      <w:r>
        <w:rPr>
          <w:rFonts w:asciiTheme="majorBidi" w:hAnsiTheme="majorBidi"/>
          <w:b/>
          <w:sz w:val="24"/>
          <w:szCs w:val="24"/>
        </w:rPr>
        <w:t>demande</w:t>
      </w:r>
      <w:r>
        <w:rPr>
          <w:rFonts w:asciiTheme="majorBidi" w:hAnsiTheme="majorBidi"/>
          <w:sz w:val="24"/>
          <w:szCs w:val="24"/>
        </w:rPr>
        <w:t xml:space="preserve"> au Secrétariat de prendre les mesures nécessaires, notamment la signature d'un accord sur les dispositions organisationnelles et techniques avec l'Autorité générale des statistiques de l'Arabie saoudite afin d'organiser efficacement cette session.</w:t>
      </w:r>
    </w:p>
    <w:p w14:paraId="54C6EE40" w14:textId="5F4DF80F" w:rsidR="00250C91" w:rsidRPr="008C122E" w:rsidRDefault="00F453BB" w:rsidP="00AD230C">
      <w:pPr>
        <w:spacing w:before="120" w:after="0"/>
        <w:jc w:val="center"/>
        <w:rPr>
          <w:rFonts w:ascii="Times New Roman" w:hAnsi="Times New Roman" w:cs="Times New Roman"/>
          <w:b/>
          <w:bCs/>
          <w:sz w:val="24"/>
          <w:szCs w:val="24"/>
        </w:rPr>
      </w:pPr>
      <w:r>
        <w:rPr>
          <w:rFonts w:ascii="Times New Roman" w:hAnsi="Times New Roman"/>
          <w:b/>
          <w:bCs/>
          <w:sz w:val="24"/>
          <w:szCs w:val="24"/>
        </w:rPr>
        <w:t>--------------------------------</w:t>
      </w:r>
    </w:p>
    <w:sectPr w:rsidR="00250C91" w:rsidRPr="008C122E" w:rsidSect="000F670D">
      <w:headerReference w:type="default" r:id="rId11"/>
      <w:footerReference w:type="default" r:id="rId12"/>
      <w:headerReference w:type="first" r:id="rId13"/>
      <w:footerReference w:type="first" r:id="rId14"/>
      <w:pgSz w:w="11906" w:h="16838" w:code="9"/>
      <w:pgMar w:top="1440" w:right="1440" w:bottom="1135" w:left="1440" w:header="562" w:footer="9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FB74C" w14:textId="77777777" w:rsidR="007222A2" w:rsidRDefault="007222A2" w:rsidP="0014560F">
      <w:pPr>
        <w:spacing w:after="0" w:line="240" w:lineRule="auto"/>
      </w:pPr>
      <w:r>
        <w:separator/>
      </w:r>
    </w:p>
  </w:endnote>
  <w:endnote w:type="continuationSeparator" w:id="0">
    <w:p w14:paraId="69F86204" w14:textId="77777777" w:rsidR="007222A2" w:rsidRDefault="007222A2" w:rsidP="0014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42023630"/>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71D21FC3" w14:textId="7019F27D" w:rsidR="0007068B" w:rsidRPr="0007068B" w:rsidRDefault="0007068B">
            <w:pPr>
              <w:pStyle w:val="Footer"/>
              <w:jc w:val="center"/>
              <w:rPr>
                <w:rFonts w:ascii="Times New Roman" w:hAnsi="Times New Roman" w:cs="Times New Roman"/>
              </w:rPr>
            </w:pPr>
            <w:r>
              <w:rPr>
                <w:rFonts w:ascii="Times New Roman" w:hAnsi="Times New Roman"/>
              </w:rPr>
              <w:t xml:space="preserve">Page </w:t>
            </w:r>
            <w:r w:rsidRPr="0007068B">
              <w:rPr>
                <w:rFonts w:ascii="Times New Roman" w:hAnsi="Times New Roman" w:cs="Times New Roman"/>
                <w:b/>
                <w:bCs/>
                <w:sz w:val="24"/>
                <w:szCs w:val="24"/>
              </w:rPr>
              <w:fldChar w:fldCharType="begin"/>
            </w:r>
            <w:r w:rsidRPr="0007068B">
              <w:rPr>
                <w:rFonts w:ascii="Times New Roman" w:hAnsi="Times New Roman" w:cs="Times New Roman"/>
                <w:b/>
                <w:bCs/>
              </w:rPr>
              <w:instrText xml:space="preserve"> PAGE </w:instrText>
            </w:r>
            <w:r w:rsidRPr="0007068B">
              <w:rPr>
                <w:rFonts w:ascii="Times New Roman" w:hAnsi="Times New Roman" w:cs="Times New Roman"/>
                <w:b/>
                <w:bCs/>
                <w:sz w:val="24"/>
                <w:szCs w:val="24"/>
              </w:rPr>
              <w:fldChar w:fldCharType="separate"/>
            </w:r>
            <w:r w:rsidR="00EC7567">
              <w:rPr>
                <w:rFonts w:ascii="Times New Roman" w:hAnsi="Times New Roman" w:cs="Times New Roman"/>
                <w:b/>
                <w:bCs/>
                <w:noProof/>
              </w:rPr>
              <w:t>4</w:t>
            </w:r>
            <w:r w:rsidRPr="0007068B">
              <w:rPr>
                <w:rFonts w:ascii="Times New Roman" w:hAnsi="Times New Roman" w:cs="Times New Roman"/>
                <w:b/>
                <w:bCs/>
                <w:sz w:val="24"/>
                <w:szCs w:val="24"/>
              </w:rPr>
              <w:fldChar w:fldCharType="end"/>
            </w:r>
            <w:r>
              <w:rPr>
                <w:rFonts w:ascii="Times New Roman" w:hAnsi="Times New Roman"/>
              </w:rPr>
              <w:t xml:space="preserve"> sur </w:t>
            </w:r>
            <w:r w:rsidRPr="0007068B">
              <w:rPr>
                <w:rFonts w:ascii="Times New Roman" w:hAnsi="Times New Roman" w:cs="Times New Roman"/>
                <w:b/>
                <w:bCs/>
                <w:sz w:val="24"/>
                <w:szCs w:val="24"/>
              </w:rPr>
              <w:fldChar w:fldCharType="begin"/>
            </w:r>
            <w:r w:rsidRPr="0007068B">
              <w:rPr>
                <w:rFonts w:ascii="Times New Roman" w:hAnsi="Times New Roman" w:cs="Times New Roman"/>
                <w:b/>
                <w:bCs/>
              </w:rPr>
              <w:instrText xml:space="preserve"> NUMPAGES  </w:instrText>
            </w:r>
            <w:r w:rsidRPr="0007068B">
              <w:rPr>
                <w:rFonts w:ascii="Times New Roman" w:hAnsi="Times New Roman" w:cs="Times New Roman"/>
                <w:b/>
                <w:bCs/>
                <w:sz w:val="24"/>
                <w:szCs w:val="24"/>
              </w:rPr>
              <w:fldChar w:fldCharType="separate"/>
            </w:r>
            <w:r w:rsidR="00EC7567">
              <w:rPr>
                <w:rFonts w:ascii="Times New Roman" w:hAnsi="Times New Roman" w:cs="Times New Roman"/>
                <w:b/>
                <w:bCs/>
                <w:noProof/>
              </w:rPr>
              <w:t>6</w:t>
            </w:r>
            <w:r w:rsidRPr="0007068B">
              <w:rPr>
                <w:rFonts w:ascii="Times New Roman" w:hAnsi="Times New Roman" w:cs="Times New Roman"/>
                <w:b/>
                <w:bCs/>
                <w:sz w:val="24"/>
                <w:szCs w:val="24"/>
              </w:rPr>
              <w:fldChar w:fldCharType="end"/>
            </w:r>
          </w:p>
        </w:sdtContent>
      </w:sdt>
    </w:sdtContent>
  </w:sdt>
  <w:p w14:paraId="3CF2DB93" w14:textId="2E22382F" w:rsidR="00DF375B" w:rsidRPr="00413A39" w:rsidRDefault="00DF375B" w:rsidP="00E63146">
    <w:pPr>
      <w:pStyle w:val="Footer"/>
      <w:pBdr>
        <w:top w:val="single" w:sz="4" w:space="1" w:color="auto"/>
      </w:pBd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4B943" w14:textId="16ABD8FC" w:rsidR="00DF375B" w:rsidRPr="00413A39" w:rsidRDefault="00DF375B" w:rsidP="00413A39">
    <w:pPr>
      <w:pStyle w:val="Footer"/>
      <w:pBdr>
        <w:top w:val="single" w:sz="4" w:space="1" w:color="auto"/>
      </w:pBdr>
      <w:jc w:val="center"/>
      <w:rPr>
        <w:rFonts w:ascii="Times New Roman" w:hAnsi="Times New Roman" w:cs="Times New Roman"/>
      </w:rPr>
    </w:pPr>
    <w:r w:rsidRPr="00413A39">
      <w:rPr>
        <w:rFonts w:ascii="Times New Roman" w:hAnsi="Times New Roman" w:cs="Times New Roman"/>
      </w:rPr>
      <w:fldChar w:fldCharType="begin"/>
    </w:r>
    <w:r w:rsidRPr="00413A39">
      <w:rPr>
        <w:rFonts w:ascii="Times New Roman" w:hAnsi="Times New Roman" w:cs="Times New Roman"/>
      </w:rPr>
      <w:instrText xml:space="preserve"> PAGE   \* MERGEFORMAT </w:instrText>
    </w:r>
    <w:r w:rsidRPr="00413A39">
      <w:rPr>
        <w:rFonts w:ascii="Times New Roman" w:hAnsi="Times New Roman" w:cs="Times New Roman"/>
      </w:rPr>
      <w:fldChar w:fldCharType="separate"/>
    </w:r>
    <w:r w:rsidR="00832B15">
      <w:rPr>
        <w:rFonts w:ascii="Times New Roman" w:hAnsi="Times New Roman" w:cs="Times New Roman"/>
        <w:noProof/>
      </w:rPr>
      <w:t>1</w:t>
    </w:r>
    <w:r w:rsidRPr="00413A39">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882E6" w14:textId="77777777" w:rsidR="007222A2" w:rsidRDefault="007222A2" w:rsidP="0014560F">
      <w:pPr>
        <w:spacing w:after="0" w:line="240" w:lineRule="auto"/>
      </w:pPr>
      <w:r>
        <w:separator/>
      </w:r>
    </w:p>
  </w:footnote>
  <w:footnote w:type="continuationSeparator" w:id="0">
    <w:p w14:paraId="3CFFB6BA" w14:textId="77777777" w:rsidR="007222A2" w:rsidRDefault="007222A2" w:rsidP="00145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7CFE" w14:textId="52451B47" w:rsidR="00DB0DE7" w:rsidRPr="00940A4B" w:rsidRDefault="00743FB2" w:rsidP="002A3B09">
    <w:pPr>
      <w:pStyle w:val="NoSpacing"/>
      <w:spacing w:line="360" w:lineRule="auto"/>
      <w:jc w:val="both"/>
      <w:rPr>
        <w:rFonts w:ascii="Times New Roman" w:hAnsi="Times New Roman" w:cs="Times New Roman"/>
        <w:b/>
        <w:sz w:val="32"/>
        <w:szCs w:val="32"/>
      </w:rPr>
    </w:pPr>
    <w:bookmarkStart w:id="4" w:name="OLE_LINK3"/>
    <w:r w:rsidRPr="00940A4B">
      <w:rPr>
        <w:noProof/>
        <w:lang w:val="en-US"/>
      </w:rPr>
      <w:drawing>
        <wp:inline distT="0" distB="0" distL="0" distR="0" wp14:anchorId="737BEF02" wp14:editId="18CF412E">
          <wp:extent cx="5724000" cy="754227"/>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24000" cy="754227"/>
                  </a:xfrm>
                  <a:prstGeom prst="rect">
                    <a:avLst/>
                  </a:prstGeom>
                </pic:spPr>
              </pic:pic>
            </a:graphicData>
          </a:graphic>
        </wp:inline>
      </w:drawing>
    </w:r>
  </w:p>
  <w:p w14:paraId="5EB16C99" w14:textId="66C423F1" w:rsidR="00495576" w:rsidRPr="008C122E" w:rsidRDefault="00495576" w:rsidP="00CE1D80">
    <w:pPr>
      <w:pStyle w:val="NoSpacing"/>
      <w:jc w:val="center"/>
      <w:rPr>
        <w:rFonts w:ascii="Times New Roman" w:hAnsi="Times New Roman" w:cs="Times New Roman"/>
        <w:b/>
      </w:rPr>
    </w:pPr>
    <w:r>
      <w:rPr>
        <w:rFonts w:ascii="Times New Roman" w:hAnsi="Times New Roman"/>
        <w:b/>
      </w:rPr>
      <w:t>SESRIC/OICSTATCOM-14/2025/RES/PROJET Original : Anglais</w:t>
    </w:r>
  </w:p>
  <w:p w14:paraId="3DA56E75" w14:textId="2B7F785C" w:rsidR="00495576" w:rsidRPr="008C122E" w:rsidRDefault="00495576" w:rsidP="008C122E">
    <w:pPr>
      <w:pStyle w:val="NoSpacing"/>
      <w:rPr>
        <w:rFonts w:ascii="Times New Roman" w:hAnsi="Times New Roman" w:cs="Times New Roman"/>
        <w:bCs/>
        <w:i/>
        <w:iCs/>
      </w:rPr>
    </w:pPr>
  </w:p>
  <w:p w14:paraId="0F10804F" w14:textId="59FAFA66" w:rsidR="00F52B08" w:rsidRDefault="00DB0DE7" w:rsidP="00B27F74">
    <w:pPr>
      <w:pStyle w:val="NoSpacing"/>
      <w:jc w:val="center"/>
      <w:rPr>
        <w:rFonts w:ascii="Times New Roman" w:hAnsi="Times New Roman" w:cs="Times New Roman"/>
        <w:b/>
        <w:sz w:val="24"/>
        <w:szCs w:val="24"/>
      </w:rPr>
    </w:pPr>
    <w:r>
      <w:rPr>
        <w:rFonts w:ascii="Times New Roman" w:hAnsi="Times New Roman"/>
        <w:b/>
        <w:sz w:val="24"/>
        <w:szCs w:val="24"/>
      </w:rPr>
      <w:t>RÉSOLUTION</w:t>
    </w:r>
    <w:bookmarkEnd w:id="4"/>
    <w:r>
      <w:rPr>
        <w:rFonts w:ascii="Times New Roman" w:hAnsi="Times New Roman"/>
        <w:b/>
        <w:sz w:val="24"/>
        <w:szCs w:val="24"/>
      </w:rPr>
      <w:t xml:space="preserve"> </w:t>
    </w:r>
  </w:p>
  <w:p w14:paraId="4BAA64B6" w14:textId="0CC6C9BC" w:rsidR="00DF375B" w:rsidRPr="00DA445E" w:rsidRDefault="00DA445E" w:rsidP="0053768A">
    <w:pPr>
      <w:pStyle w:val="NoSpacing"/>
      <w:jc w:val="center"/>
      <w:rPr>
        <w:rFonts w:ascii="Times New Roman" w:hAnsi="Times New Roman" w:cs="Times New Roman"/>
        <w:b/>
        <w:sz w:val="24"/>
        <w:szCs w:val="24"/>
      </w:rPr>
    </w:pPr>
    <w:r>
      <w:rPr>
        <w:rFonts w:ascii="Times New Roman" w:hAnsi="Times New Roman"/>
        <w:b/>
        <w:sz w:val="24"/>
        <w:szCs w:val="24"/>
      </w:rPr>
      <w:t>ADOPTÉ PAR LA 14ème SESSION DE L'OIC-STATCOM</w:t>
    </w:r>
  </w:p>
  <w:p w14:paraId="1B65B182" w14:textId="275778EF" w:rsidR="00DA445E" w:rsidRPr="00173674" w:rsidRDefault="00DA445E" w:rsidP="00CD730E">
    <w:pPr>
      <w:pStyle w:val="NoSpacing"/>
      <w:jc w:val="center"/>
      <w:rPr>
        <w:rFonts w:ascii="Times New Roman" w:hAnsi="Times New Roman" w:cs="Times New Roman"/>
        <w:bCs/>
        <w:color w:val="808080" w:themeColor="background1" w:themeShade="80"/>
        <w:sz w:val="24"/>
        <w:szCs w:val="24"/>
      </w:rPr>
    </w:pPr>
  </w:p>
  <w:p w14:paraId="6C60077D" w14:textId="233DC41D" w:rsidR="009434C3" w:rsidRPr="00173674" w:rsidRDefault="000003E1" w:rsidP="000003E1">
    <w:pPr>
      <w:pStyle w:val="NoSpacing"/>
      <w:jc w:val="center"/>
      <w:rPr>
        <w:rFonts w:ascii="Times New Roman" w:hAnsi="Times New Roman" w:cs="Times New Roman"/>
        <w:bCs/>
        <w:color w:val="808080" w:themeColor="background1" w:themeShade="80"/>
        <w:sz w:val="24"/>
        <w:szCs w:val="24"/>
      </w:rPr>
    </w:pPr>
    <w:r>
      <w:rPr>
        <w:rFonts w:ascii="Times New Roman" w:hAnsi="Times New Roman"/>
        <w:bCs/>
        <w:color w:val="808080" w:themeColor="background1" w:themeShade="80"/>
        <w:sz w:val="24"/>
        <w:szCs w:val="24"/>
      </w:rPr>
      <w:t>ANKARA, REPUBLIQUE DE TÜRKIYE</w:t>
    </w:r>
  </w:p>
  <w:p w14:paraId="76A35CD9" w14:textId="73EE9174" w:rsidR="00DA445E" w:rsidRPr="00173674" w:rsidRDefault="0053768A" w:rsidP="0053768A">
    <w:pPr>
      <w:pStyle w:val="NoSpacing"/>
      <w:jc w:val="center"/>
      <w:rPr>
        <w:rFonts w:ascii="Times New Roman" w:hAnsi="Times New Roman" w:cs="Times New Roman"/>
        <w:bCs/>
        <w:color w:val="808080" w:themeColor="background1" w:themeShade="80"/>
        <w:sz w:val="24"/>
        <w:szCs w:val="24"/>
      </w:rPr>
    </w:pPr>
    <w:r>
      <w:rPr>
        <w:rFonts w:ascii="Times New Roman" w:hAnsi="Times New Roman"/>
        <w:bCs/>
        <w:color w:val="808080" w:themeColor="background1" w:themeShade="80"/>
        <w:sz w:val="24"/>
        <w:szCs w:val="24"/>
      </w:rPr>
      <w:t>1-3 OCTOBRE 2025 (9-11 RABI AL THANI 1447 H)</w:t>
    </w:r>
  </w:p>
  <w:p w14:paraId="7D4D26DA" w14:textId="77777777" w:rsidR="00DB06FC" w:rsidRPr="00CE672B" w:rsidRDefault="00DB06FC" w:rsidP="00CD730E">
    <w:pPr>
      <w:pStyle w:val="NoSpacing"/>
      <w:jc w:val="center"/>
      <w:rPr>
        <w:rFonts w:ascii="Times New Roman" w:hAnsi="Times New Roman" w:cs="Times New Roman"/>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1EBF3" w14:textId="594CB94C" w:rsidR="0061518A" w:rsidRDefault="0061518A" w:rsidP="0061518A">
    <w:pPr>
      <w:pStyle w:val="NoSpacing"/>
    </w:pPr>
    <w:bookmarkStart w:id="5" w:name="OLE_LINK11"/>
    <w:bookmarkStart w:id="6" w:name="OLE_LINK12"/>
    <w:bookmarkStart w:id="7" w:name="_Hlk512926932"/>
  </w:p>
  <w:p w14:paraId="16FA8F87" w14:textId="77777777" w:rsidR="00DB0DE7" w:rsidRDefault="00DB0DE7" w:rsidP="0061518A">
    <w:pPr>
      <w:pStyle w:val="NoSpacing"/>
    </w:pPr>
  </w:p>
  <w:p w14:paraId="2560F501" w14:textId="13A3DB5E" w:rsidR="00DB0DE7" w:rsidRPr="0061518A" w:rsidRDefault="00DB0DE7" w:rsidP="0061518A">
    <w:pPr>
      <w:pStyle w:val="NoSpacing"/>
    </w:pPr>
    <w:r>
      <w:br/>
    </w:r>
  </w:p>
  <w:p w14:paraId="4C9AD41B" w14:textId="6A560CB2" w:rsidR="00DF375B" w:rsidRPr="00876CC6" w:rsidRDefault="00DF375B" w:rsidP="00C96639">
    <w:pPr>
      <w:pStyle w:val="Heading2"/>
      <w:spacing w:before="0" w:after="120" w:line="288" w:lineRule="auto"/>
      <w:jc w:val="center"/>
      <w:rPr>
        <w:rFonts w:ascii="Times New Roman" w:hAnsi="Times New Roman" w:cs="Times New Roman"/>
        <w:sz w:val="32"/>
        <w:szCs w:val="32"/>
      </w:rPr>
    </w:pPr>
    <w:r>
      <w:rPr>
        <w:rFonts w:ascii="Times New Roman" w:hAnsi="Times New Roman"/>
        <w:sz w:val="32"/>
        <w:szCs w:val="32"/>
      </w:rPr>
      <w:t>Septième session de la Commission de statistique de l'OCI</w:t>
    </w:r>
  </w:p>
  <w:p w14:paraId="6AC7EF91" w14:textId="77777777" w:rsidR="00DF375B" w:rsidRPr="00876CC6" w:rsidRDefault="00DF375B" w:rsidP="00C96639">
    <w:pPr>
      <w:pStyle w:val="Heading2"/>
      <w:spacing w:before="0" w:after="120" w:line="288" w:lineRule="auto"/>
      <w:jc w:val="center"/>
      <w:rPr>
        <w:rFonts w:ascii="Times New Roman" w:hAnsi="Times New Roman" w:cs="Times New Roman"/>
        <w:sz w:val="32"/>
        <w:szCs w:val="32"/>
      </w:rPr>
    </w:pPr>
    <w:r>
      <w:rPr>
        <w:rFonts w:ascii="Times New Roman" w:hAnsi="Times New Roman"/>
        <w:sz w:val="32"/>
        <w:szCs w:val="32"/>
      </w:rPr>
      <w:t>2-3 mai 2018, Ankara – Turkiye</w:t>
    </w:r>
  </w:p>
  <w:p w14:paraId="5CDF3BA5" w14:textId="08538F1E" w:rsidR="00DF375B" w:rsidRPr="00DB0DE7" w:rsidRDefault="00DF375B" w:rsidP="00DB0DE7">
    <w:pPr>
      <w:pStyle w:val="Heading2"/>
      <w:spacing w:before="0" w:after="120" w:line="288" w:lineRule="auto"/>
      <w:jc w:val="center"/>
      <w:rPr>
        <w:rFonts w:ascii="Times New Roman" w:hAnsi="Times New Roman" w:cs="Times New Roman"/>
        <w:sz w:val="32"/>
        <w:szCs w:val="32"/>
      </w:rPr>
    </w:pPr>
    <w:r>
      <w:rPr>
        <w:rFonts w:ascii="Times New Roman" w:hAnsi="Times New Roman"/>
        <w:sz w:val="32"/>
        <w:szCs w:val="32"/>
      </w:rPr>
      <w:t>PROJET DE RÉSOLUTIONS</w:t>
    </w:r>
    <w:r w:rsidRPr="00D76EB2">
      <w:rPr>
        <w:rFonts w:ascii="Times New Roman" w:hAnsi="Times New Roman" w:cs="Times New Roman"/>
        <w:noProof/>
        <w:lang w:val="en-US"/>
      </w:rPr>
      <w:drawing>
        <wp:anchor distT="0" distB="0" distL="114300" distR="114300" simplePos="0" relativeHeight="251657216" behindDoc="0" locked="0" layoutInCell="1" allowOverlap="1" wp14:anchorId="239C9895" wp14:editId="173B8D4D">
          <wp:simplePos x="717550" y="361950"/>
          <wp:positionH relativeFrom="page">
            <wp:align>left</wp:align>
          </wp:positionH>
          <wp:positionV relativeFrom="page">
            <wp:align>top</wp:align>
          </wp:positionV>
          <wp:extent cx="7812000" cy="103150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2000" cy="1031505"/>
                  </a:xfrm>
                  <a:prstGeom prst="rect">
                    <a:avLst/>
                  </a:prstGeom>
                </pic:spPr>
              </pic:pic>
            </a:graphicData>
          </a:graphic>
        </wp:anchor>
      </w:drawing>
    </w:r>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084"/>
    <w:multiLevelType w:val="hybridMultilevel"/>
    <w:tmpl w:val="A0CAE3B0"/>
    <w:lvl w:ilvl="0" w:tplc="564AEFF6">
      <w:start w:val="1"/>
      <w:numFmt w:val="lowerLetter"/>
      <w:lvlText w:val="%1)"/>
      <w:lvlJc w:val="left"/>
      <w:pPr>
        <w:ind w:left="1080" w:hanging="72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B38B3"/>
    <w:multiLevelType w:val="hybridMultilevel"/>
    <w:tmpl w:val="75187FB6"/>
    <w:lvl w:ilvl="0" w:tplc="DD1650F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3A69C6"/>
    <w:multiLevelType w:val="multilevel"/>
    <w:tmpl w:val="5D74B19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83DE2"/>
    <w:multiLevelType w:val="hybridMultilevel"/>
    <w:tmpl w:val="5EEE29F2"/>
    <w:lvl w:ilvl="0" w:tplc="DD1650F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EB0892"/>
    <w:multiLevelType w:val="hybridMultilevel"/>
    <w:tmpl w:val="180602FE"/>
    <w:lvl w:ilvl="0" w:tplc="9544FE98">
      <w:start w:val="1"/>
      <w:numFmt w:val="bullet"/>
      <w:lvlText w:val=""/>
      <w:lvlJc w:val="left"/>
      <w:pPr>
        <w:ind w:left="1080" w:hanging="72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85BF6"/>
    <w:multiLevelType w:val="hybridMultilevel"/>
    <w:tmpl w:val="5CD8604E"/>
    <w:lvl w:ilvl="0" w:tplc="9544FE98">
      <w:start w:val="1"/>
      <w:numFmt w:val="bullet"/>
      <w:lvlText w:val=""/>
      <w:lvlJc w:val="left"/>
      <w:pPr>
        <w:ind w:left="1080" w:hanging="72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A6309"/>
    <w:multiLevelType w:val="multilevel"/>
    <w:tmpl w:val="5AAA82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AE70CC"/>
    <w:multiLevelType w:val="hybridMultilevel"/>
    <w:tmpl w:val="6180D3FA"/>
    <w:lvl w:ilvl="0" w:tplc="8746EB04">
      <w:start w:val="1"/>
      <w:numFmt w:val="decimal"/>
      <w:lvlText w:val="%1."/>
      <w:lvlJc w:val="left"/>
      <w:pPr>
        <w:ind w:left="282" w:hanging="360"/>
      </w:pPr>
      <w:rPr>
        <w:rFonts w:hint="default"/>
        <w:b/>
      </w:rPr>
    </w:lvl>
    <w:lvl w:ilvl="1" w:tplc="D674CEEC">
      <w:start w:val="1"/>
      <w:numFmt w:val="lowerLetter"/>
      <w:lvlText w:val="%2)"/>
      <w:lvlJc w:val="left"/>
      <w:pPr>
        <w:ind w:left="1002" w:hanging="360"/>
      </w:pPr>
      <w:rPr>
        <w:b/>
      </w:r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8" w15:restartNumberingAfterBreak="0">
    <w:nsid w:val="5D1A0A42"/>
    <w:multiLevelType w:val="hybridMultilevel"/>
    <w:tmpl w:val="5B58CCB8"/>
    <w:lvl w:ilvl="0" w:tplc="08090001">
      <w:start w:val="1"/>
      <w:numFmt w:val="bullet"/>
      <w:lvlText w:val=""/>
      <w:lvlJc w:val="left"/>
      <w:pPr>
        <w:ind w:left="304" w:hanging="360"/>
      </w:pPr>
      <w:rPr>
        <w:rFonts w:ascii="Symbol" w:hAnsi="Symbol" w:hint="default"/>
        <w:b/>
      </w:rPr>
    </w:lvl>
    <w:lvl w:ilvl="1" w:tplc="D674CEEC">
      <w:start w:val="1"/>
      <w:numFmt w:val="lowerLetter"/>
      <w:lvlText w:val="%2)"/>
      <w:lvlJc w:val="left"/>
      <w:pPr>
        <w:ind w:left="1024" w:hanging="360"/>
      </w:pPr>
      <w:rPr>
        <w:b/>
      </w:rPr>
    </w:lvl>
    <w:lvl w:ilvl="2" w:tplc="0409001B" w:tentative="1">
      <w:start w:val="1"/>
      <w:numFmt w:val="lowerRoman"/>
      <w:lvlText w:val="%3."/>
      <w:lvlJc w:val="right"/>
      <w:pPr>
        <w:ind w:left="1744" w:hanging="180"/>
      </w:pPr>
    </w:lvl>
    <w:lvl w:ilvl="3" w:tplc="0409000F" w:tentative="1">
      <w:start w:val="1"/>
      <w:numFmt w:val="decimal"/>
      <w:lvlText w:val="%4."/>
      <w:lvlJc w:val="left"/>
      <w:pPr>
        <w:ind w:left="2464" w:hanging="360"/>
      </w:pPr>
    </w:lvl>
    <w:lvl w:ilvl="4" w:tplc="04090019" w:tentative="1">
      <w:start w:val="1"/>
      <w:numFmt w:val="lowerLetter"/>
      <w:lvlText w:val="%5."/>
      <w:lvlJc w:val="left"/>
      <w:pPr>
        <w:ind w:left="3184" w:hanging="360"/>
      </w:pPr>
    </w:lvl>
    <w:lvl w:ilvl="5" w:tplc="0409001B" w:tentative="1">
      <w:start w:val="1"/>
      <w:numFmt w:val="lowerRoman"/>
      <w:lvlText w:val="%6."/>
      <w:lvlJc w:val="right"/>
      <w:pPr>
        <w:ind w:left="3904" w:hanging="180"/>
      </w:pPr>
    </w:lvl>
    <w:lvl w:ilvl="6" w:tplc="0409000F" w:tentative="1">
      <w:start w:val="1"/>
      <w:numFmt w:val="decimal"/>
      <w:lvlText w:val="%7."/>
      <w:lvlJc w:val="left"/>
      <w:pPr>
        <w:ind w:left="4624" w:hanging="360"/>
      </w:pPr>
    </w:lvl>
    <w:lvl w:ilvl="7" w:tplc="04090019" w:tentative="1">
      <w:start w:val="1"/>
      <w:numFmt w:val="lowerLetter"/>
      <w:lvlText w:val="%8."/>
      <w:lvlJc w:val="left"/>
      <w:pPr>
        <w:ind w:left="5344" w:hanging="360"/>
      </w:pPr>
    </w:lvl>
    <w:lvl w:ilvl="8" w:tplc="0409001B" w:tentative="1">
      <w:start w:val="1"/>
      <w:numFmt w:val="lowerRoman"/>
      <w:lvlText w:val="%9."/>
      <w:lvlJc w:val="right"/>
      <w:pPr>
        <w:ind w:left="6064" w:hanging="180"/>
      </w:pPr>
    </w:lvl>
  </w:abstractNum>
  <w:abstractNum w:abstractNumId="9" w15:restartNumberingAfterBreak="0">
    <w:nsid w:val="730F4BDC"/>
    <w:multiLevelType w:val="hybridMultilevel"/>
    <w:tmpl w:val="6F9E6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03405"/>
    <w:multiLevelType w:val="hybridMultilevel"/>
    <w:tmpl w:val="55865048"/>
    <w:lvl w:ilvl="0" w:tplc="61AEAE46">
      <w:start w:val="1"/>
      <w:numFmt w:val="decimal"/>
      <w:lvlText w:val="%1."/>
      <w:lvlJc w:val="left"/>
      <w:pPr>
        <w:ind w:left="1000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9B74F0"/>
    <w:multiLevelType w:val="hybridMultilevel"/>
    <w:tmpl w:val="E63294F6"/>
    <w:lvl w:ilvl="0" w:tplc="3A02A6EE">
      <w:start w:val="1"/>
      <w:numFmt w:val="lowerLetter"/>
      <w:lvlText w:val="%1)"/>
      <w:lvlJc w:val="left"/>
      <w:pPr>
        <w:ind w:left="108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11"/>
  </w:num>
  <w:num w:numId="4">
    <w:abstractNumId w:val="9"/>
  </w:num>
  <w:num w:numId="5">
    <w:abstractNumId w:val="10"/>
  </w:num>
  <w:num w:numId="6">
    <w:abstractNumId w:val="1"/>
  </w:num>
  <w:num w:numId="7">
    <w:abstractNumId w:val="5"/>
  </w:num>
  <w:num w:numId="8">
    <w:abstractNumId w:val="8"/>
  </w:num>
  <w:num w:numId="9">
    <w:abstractNumId w:val="4"/>
  </w:num>
  <w:num w:numId="10">
    <w:abstractNumId w:val="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IHAiNDA2MLCxNzQyUdpeDU4uLM/DyQAkODWgALkTO9LQAAAA=="/>
  </w:docVars>
  <w:rsids>
    <w:rsidRoot w:val="00030E7B"/>
    <w:rsid w:val="00000260"/>
    <w:rsid w:val="000003E1"/>
    <w:rsid w:val="000022DD"/>
    <w:rsid w:val="0000404C"/>
    <w:rsid w:val="00004F00"/>
    <w:rsid w:val="00005EDA"/>
    <w:rsid w:val="00006AD8"/>
    <w:rsid w:val="00007C8F"/>
    <w:rsid w:val="0001026F"/>
    <w:rsid w:val="00010CC6"/>
    <w:rsid w:val="00012BCA"/>
    <w:rsid w:val="000152E0"/>
    <w:rsid w:val="00021F99"/>
    <w:rsid w:val="0002267E"/>
    <w:rsid w:val="000237DA"/>
    <w:rsid w:val="00024987"/>
    <w:rsid w:val="00027161"/>
    <w:rsid w:val="00030E7B"/>
    <w:rsid w:val="00032516"/>
    <w:rsid w:val="00032CB0"/>
    <w:rsid w:val="0003336A"/>
    <w:rsid w:val="000357B3"/>
    <w:rsid w:val="00040B77"/>
    <w:rsid w:val="000421E7"/>
    <w:rsid w:val="00042A6B"/>
    <w:rsid w:val="00045A19"/>
    <w:rsid w:val="00045E9B"/>
    <w:rsid w:val="000465E4"/>
    <w:rsid w:val="0004734F"/>
    <w:rsid w:val="00052015"/>
    <w:rsid w:val="000564BF"/>
    <w:rsid w:val="00057BFD"/>
    <w:rsid w:val="00063066"/>
    <w:rsid w:val="00063384"/>
    <w:rsid w:val="00065567"/>
    <w:rsid w:val="00065B19"/>
    <w:rsid w:val="00065F62"/>
    <w:rsid w:val="0006631D"/>
    <w:rsid w:val="000677D0"/>
    <w:rsid w:val="0007068B"/>
    <w:rsid w:val="00074241"/>
    <w:rsid w:val="00075845"/>
    <w:rsid w:val="00076187"/>
    <w:rsid w:val="00080E79"/>
    <w:rsid w:val="00082A32"/>
    <w:rsid w:val="00083098"/>
    <w:rsid w:val="000844AA"/>
    <w:rsid w:val="000918A6"/>
    <w:rsid w:val="0009291D"/>
    <w:rsid w:val="000971F4"/>
    <w:rsid w:val="000A0044"/>
    <w:rsid w:val="000A1103"/>
    <w:rsid w:val="000A1E5D"/>
    <w:rsid w:val="000A4C7C"/>
    <w:rsid w:val="000A6618"/>
    <w:rsid w:val="000A7BFF"/>
    <w:rsid w:val="000B3004"/>
    <w:rsid w:val="000B39C8"/>
    <w:rsid w:val="000B6F38"/>
    <w:rsid w:val="000B7138"/>
    <w:rsid w:val="000C0DC3"/>
    <w:rsid w:val="000C6DBB"/>
    <w:rsid w:val="000C6E68"/>
    <w:rsid w:val="000C7CF2"/>
    <w:rsid w:val="000D1120"/>
    <w:rsid w:val="000D3B8F"/>
    <w:rsid w:val="000D4B90"/>
    <w:rsid w:val="000E0C32"/>
    <w:rsid w:val="000E3B11"/>
    <w:rsid w:val="000E50CA"/>
    <w:rsid w:val="000F4F8C"/>
    <w:rsid w:val="000F569B"/>
    <w:rsid w:val="000F5EBC"/>
    <w:rsid w:val="000F670D"/>
    <w:rsid w:val="000F7C99"/>
    <w:rsid w:val="00121569"/>
    <w:rsid w:val="00123606"/>
    <w:rsid w:val="00124E45"/>
    <w:rsid w:val="0012521D"/>
    <w:rsid w:val="00126C82"/>
    <w:rsid w:val="001333BC"/>
    <w:rsid w:val="00134421"/>
    <w:rsid w:val="00135850"/>
    <w:rsid w:val="001413B8"/>
    <w:rsid w:val="00144571"/>
    <w:rsid w:val="0014560F"/>
    <w:rsid w:val="001461E8"/>
    <w:rsid w:val="00147519"/>
    <w:rsid w:val="00147F67"/>
    <w:rsid w:val="00154B67"/>
    <w:rsid w:val="00155E47"/>
    <w:rsid w:val="00157564"/>
    <w:rsid w:val="00157865"/>
    <w:rsid w:val="00161EF1"/>
    <w:rsid w:val="00163FB6"/>
    <w:rsid w:val="0016494F"/>
    <w:rsid w:val="001654B8"/>
    <w:rsid w:val="00166BEA"/>
    <w:rsid w:val="00173674"/>
    <w:rsid w:val="00175D29"/>
    <w:rsid w:val="00177C97"/>
    <w:rsid w:val="00180F00"/>
    <w:rsid w:val="00181949"/>
    <w:rsid w:val="0018446B"/>
    <w:rsid w:val="001923B0"/>
    <w:rsid w:val="0019608F"/>
    <w:rsid w:val="001A331C"/>
    <w:rsid w:val="001A36CD"/>
    <w:rsid w:val="001A414A"/>
    <w:rsid w:val="001A610B"/>
    <w:rsid w:val="001B31E6"/>
    <w:rsid w:val="001C29F6"/>
    <w:rsid w:val="001D0588"/>
    <w:rsid w:val="001D14F3"/>
    <w:rsid w:val="001D622B"/>
    <w:rsid w:val="001E2AB1"/>
    <w:rsid w:val="001E44BB"/>
    <w:rsid w:val="001E44FB"/>
    <w:rsid w:val="001E56C3"/>
    <w:rsid w:val="001E5AF9"/>
    <w:rsid w:val="001F2627"/>
    <w:rsid w:val="001F27CB"/>
    <w:rsid w:val="001F5BDA"/>
    <w:rsid w:val="001F6309"/>
    <w:rsid w:val="001F7BFD"/>
    <w:rsid w:val="0020518E"/>
    <w:rsid w:val="002145BC"/>
    <w:rsid w:val="0022137E"/>
    <w:rsid w:val="00224B29"/>
    <w:rsid w:val="002277FE"/>
    <w:rsid w:val="00232409"/>
    <w:rsid w:val="0023342C"/>
    <w:rsid w:val="00235675"/>
    <w:rsid w:val="002357FD"/>
    <w:rsid w:val="00235D99"/>
    <w:rsid w:val="00240D2B"/>
    <w:rsid w:val="00243AF5"/>
    <w:rsid w:val="002457ED"/>
    <w:rsid w:val="00246B9C"/>
    <w:rsid w:val="00250C7B"/>
    <w:rsid w:val="00250C91"/>
    <w:rsid w:val="002520AF"/>
    <w:rsid w:val="00256DE2"/>
    <w:rsid w:val="00257B3C"/>
    <w:rsid w:val="00260582"/>
    <w:rsid w:val="00260707"/>
    <w:rsid w:val="00264287"/>
    <w:rsid w:val="0026709D"/>
    <w:rsid w:val="00270DC7"/>
    <w:rsid w:val="00271F00"/>
    <w:rsid w:val="00274C7E"/>
    <w:rsid w:val="0027626E"/>
    <w:rsid w:val="00276E22"/>
    <w:rsid w:val="0028589D"/>
    <w:rsid w:val="00286FC4"/>
    <w:rsid w:val="0028745D"/>
    <w:rsid w:val="00292A79"/>
    <w:rsid w:val="002943EC"/>
    <w:rsid w:val="002947C2"/>
    <w:rsid w:val="002975F7"/>
    <w:rsid w:val="002A3B09"/>
    <w:rsid w:val="002A6945"/>
    <w:rsid w:val="002A76D2"/>
    <w:rsid w:val="002A7F5B"/>
    <w:rsid w:val="002B086A"/>
    <w:rsid w:val="002B0CCE"/>
    <w:rsid w:val="002B0FD9"/>
    <w:rsid w:val="002B2B29"/>
    <w:rsid w:val="002B58A6"/>
    <w:rsid w:val="002B5ADE"/>
    <w:rsid w:val="002B741B"/>
    <w:rsid w:val="002C0A6C"/>
    <w:rsid w:val="002C1584"/>
    <w:rsid w:val="002C41AA"/>
    <w:rsid w:val="002C5052"/>
    <w:rsid w:val="002C73CF"/>
    <w:rsid w:val="002C7938"/>
    <w:rsid w:val="002D41C6"/>
    <w:rsid w:val="002D6237"/>
    <w:rsid w:val="002D6CBE"/>
    <w:rsid w:val="002D73B8"/>
    <w:rsid w:val="002E2219"/>
    <w:rsid w:val="002E3ABF"/>
    <w:rsid w:val="002E553D"/>
    <w:rsid w:val="002E589F"/>
    <w:rsid w:val="002E7372"/>
    <w:rsid w:val="002F32AC"/>
    <w:rsid w:val="002F4985"/>
    <w:rsid w:val="002F69B1"/>
    <w:rsid w:val="002F69C5"/>
    <w:rsid w:val="002F7B12"/>
    <w:rsid w:val="00300717"/>
    <w:rsid w:val="00302E7E"/>
    <w:rsid w:val="00304743"/>
    <w:rsid w:val="003056C0"/>
    <w:rsid w:val="00306A20"/>
    <w:rsid w:val="00307B04"/>
    <w:rsid w:val="00307E9C"/>
    <w:rsid w:val="003138CB"/>
    <w:rsid w:val="0031397A"/>
    <w:rsid w:val="00316157"/>
    <w:rsid w:val="00316AD5"/>
    <w:rsid w:val="00320CCE"/>
    <w:rsid w:val="00326D8B"/>
    <w:rsid w:val="003277AA"/>
    <w:rsid w:val="003330EF"/>
    <w:rsid w:val="003331EE"/>
    <w:rsid w:val="0033466C"/>
    <w:rsid w:val="00335116"/>
    <w:rsid w:val="00335F21"/>
    <w:rsid w:val="00336B93"/>
    <w:rsid w:val="00337334"/>
    <w:rsid w:val="00342D21"/>
    <w:rsid w:val="0034707A"/>
    <w:rsid w:val="0035159D"/>
    <w:rsid w:val="00361FA7"/>
    <w:rsid w:val="00362CF5"/>
    <w:rsid w:val="003702DA"/>
    <w:rsid w:val="003704C9"/>
    <w:rsid w:val="00376928"/>
    <w:rsid w:val="003770A4"/>
    <w:rsid w:val="003808BC"/>
    <w:rsid w:val="003833DA"/>
    <w:rsid w:val="00385599"/>
    <w:rsid w:val="00385E7D"/>
    <w:rsid w:val="003864B3"/>
    <w:rsid w:val="00387E17"/>
    <w:rsid w:val="00391497"/>
    <w:rsid w:val="00392193"/>
    <w:rsid w:val="00394108"/>
    <w:rsid w:val="00397C6B"/>
    <w:rsid w:val="003A1C90"/>
    <w:rsid w:val="003A33B3"/>
    <w:rsid w:val="003A6437"/>
    <w:rsid w:val="003B6EAB"/>
    <w:rsid w:val="003C0717"/>
    <w:rsid w:val="003C0936"/>
    <w:rsid w:val="003C2ABD"/>
    <w:rsid w:val="003C4F97"/>
    <w:rsid w:val="003E0EE3"/>
    <w:rsid w:val="003F04AB"/>
    <w:rsid w:val="003F11B3"/>
    <w:rsid w:val="003F30D4"/>
    <w:rsid w:val="003F3DA3"/>
    <w:rsid w:val="003F6C62"/>
    <w:rsid w:val="003F7645"/>
    <w:rsid w:val="0040239A"/>
    <w:rsid w:val="004024AF"/>
    <w:rsid w:val="004104D9"/>
    <w:rsid w:val="00413A39"/>
    <w:rsid w:val="004159C1"/>
    <w:rsid w:val="00422026"/>
    <w:rsid w:val="00423230"/>
    <w:rsid w:val="0042496F"/>
    <w:rsid w:val="00425400"/>
    <w:rsid w:val="00425F00"/>
    <w:rsid w:val="00432057"/>
    <w:rsid w:val="00432457"/>
    <w:rsid w:val="004334DF"/>
    <w:rsid w:val="00434318"/>
    <w:rsid w:val="00435DBD"/>
    <w:rsid w:val="004360CA"/>
    <w:rsid w:val="0044048D"/>
    <w:rsid w:val="00440AF0"/>
    <w:rsid w:val="00441AC5"/>
    <w:rsid w:val="00442D7B"/>
    <w:rsid w:val="00443F18"/>
    <w:rsid w:val="00447315"/>
    <w:rsid w:val="00447C10"/>
    <w:rsid w:val="0045275D"/>
    <w:rsid w:val="00456B99"/>
    <w:rsid w:val="00457788"/>
    <w:rsid w:val="00457D31"/>
    <w:rsid w:val="00463733"/>
    <w:rsid w:val="00465C73"/>
    <w:rsid w:val="0047043F"/>
    <w:rsid w:val="00472C22"/>
    <w:rsid w:val="00473C76"/>
    <w:rsid w:val="0047548E"/>
    <w:rsid w:val="004844D8"/>
    <w:rsid w:val="00485FDF"/>
    <w:rsid w:val="00494BE1"/>
    <w:rsid w:val="00495576"/>
    <w:rsid w:val="004961F5"/>
    <w:rsid w:val="004966AB"/>
    <w:rsid w:val="004A0504"/>
    <w:rsid w:val="004A7B44"/>
    <w:rsid w:val="004B3895"/>
    <w:rsid w:val="004B3D78"/>
    <w:rsid w:val="004B4273"/>
    <w:rsid w:val="004B4F3F"/>
    <w:rsid w:val="004B599C"/>
    <w:rsid w:val="004C011A"/>
    <w:rsid w:val="004C04C6"/>
    <w:rsid w:val="004C11FC"/>
    <w:rsid w:val="004C12D3"/>
    <w:rsid w:val="004D12A6"/>
    <w:rsid w:val="004D60CF"/>
    <w:rsid w:val="004D73AF"/>
    <w:rsid w:val="004E0D2B"/>
    <w:rsid w:val="004E1C95"/>
    <w:rsid w:val="004E696B"/>
    <w:rsid w:val="004E7547"/>
    <w:rsid w:val="004F3DDA"/>
    <w:rsid w:val="004F7C89"/>
    <w:rsid w:val="00503CAA"/>
    <w:rsid w:val="00503F90"/>
    <w:rsid w:val="005120EF"/>
    <w:rsid w:val="00515A3E"/>
    <w:rsid w:val="005167B4"/>
    <w:rsid w:val="0052114E"/>
    <w:rsid w:val="0052241C"/>
    <w:rsid w:val="005226DB"/>
    <w:rsid w:val="0052589D"/>
    <w:rsid w:val="005261FB"/>
    <w:rsid w:val="00531613"/>
    <w:rsid w:val="00532054"/>
    <w:rsid w:val="0053768A"/>
    <w:rsid w:val="00540BAD"/>
    <w:rsid w:val="005450C3"/>
    <w:rsid w:val="0054564A"/>
    <w:rsid w:val="005471DE"/>
    <w:rsid w:val="005475A6"/>
    <w:rsid w:val="00550387"/>
    <w:rsid w:val="00551639"/>
    <w:rsid w:val="00553E5C"/>
    <w:rsid w:val="00560C91"/>
    <w:rsid w:val="00562510"/>
    <w:rsid w:val="00563E8F"/>
    <w:rsid w:val="0056469D"/>
    <w:rsid w:val="00566C5D"/>
    <w:rsid w:val="005738F0"/>
    <w:rsid w:val="00573BF1"/>
    <w:rsid w:val="00574012"/>
    <w:rsid w:val="00574170"/>
    <w:rsid w:val="005754CB"/>
    <w:rsid w:val="00576B19"/>
    <w:rsid w:val="00576E78"/>
    <w:rsid w:val="00581C01"/>
    <w:rsid w:val="00584CC3"/>
    <w:rsid w:val="005850AE"/>
    <w:rsid w:val="005878B9"/>
    <w:rsid w:val="005903C3"/>
    <w:rsid w:val="005912E8"/>
    <w:rsid w:val="00591DC9"/>
    <w:rsid w:val="00595280"/>
    <w:rsid w:val="005966C8"/>
    <w:rsid w:val="005A5557"/>
    <w:rsid w:val="005A71D7"/>
    <w:rsid w:val="005B4948"/>
    <w:rsid w:val="005B52B4"/>
    <w:rsid w:val="005B694C"/>
    <w:rsid w:val="005C770B"/>
    <w:rsid w:val="005D0055"/>
    <w:rsid w:val="005D090B"/>
    <w:rsid w:val="005E2D81"/>
    <w:rsid w:val="005E53F7"/>
    <w:rsid w:val="005E697F"/>
    <w:rsid w:val="005E7C1B"/>
    <w:rsid w:val="005F1DEA"/>
    <w:rsid w:val="005F45E3"/>
    <w:rsid w:val="00600769"/>
    <w:rsid w:val="0060574E"/>
    <w:rsid w:val="006128D5"/>
    <w:rsid w:val="0061518A"/>
    <w:rsid w:val="00616DDD"/>
    <w:rsid w:val="006170AB"/>
    <w:rsid w:val="0062417E"/>
    <w:rsid w:val="0062467E"/>
    <w:rsid w:val="00627AD3"/>
    <w:rsid w:val="00627C86"/>
    <w:rsid w:val="00632685"/>
    <w:rsid w:val="00633075"/>
    <w:rsid w:val="00634506"/>
    <w:rsid w:val="00640DF2"/>
    <w:rsid w:val="00645A90"/>
    <w:rsid w:val="00647335"/>
    <w:rsid w:val="006507E4"/>
    <w:rsid w:val="006510D1"/>
    <w:rsid w:val="0065174F"/>
    <w:rsid w:val="00651AE1"/>
    <w:rsid w:val="006520CC"/>
    <w:rsid w:val="00652BDE"/>
    <w:rsid w:val="0065454B"/>
    <w:rsid w:val="00660DC6"/>
    <w:rsid w:val="0066252B"/>
    <w:rsid w:val="00662D7A"/>
    <w:rsid w:val="00665AC1"/>
    <w:rsid w:val="006725DD"/>
    <w:rsid w:val="006760AF"/>
    <w:rsid w:val="00677A63"/>
    <w:rsid w:val="00681058"/>
    <w:rsid w:val="0068303B"/>
    <w:rsid w:val="006869AC"/>
    <w:rsid w:val="0068745F"/>
    <w:rsid w:val="00687A25"/>
    <w:rsid w:val="006923FD"/>
    <w:rsid w:val="0069379E"/>
    <w:rsid w:val="00694A71"/>
    <w:rsid w:val="00694F70"/>
    <w:rsid w:val="006A664C"/>
    <w:rsid w:val="006B140D"/>
    <w:rsid w:val="006B250E"/>
    <w:rsid w:val="006B2570"/>
    <w:rsid w:val="006B2986"/>
    <w:rsid w:val="006C1BDA"/>
    <w:rsid w:val="006C62EE"/>
    <w:rsid w:val="006C6A09"/>
    <w:rsid w:val="006C6EC3"/>
    <w:rsid w:val="006D35BA"/>
    <w:rsid w:val="006D455E"/>
    <w:rsid w:val="006D4928"/>
    <w:rsid w:val="006D4BCF"/>
    <w:rsid w:val="006D5406"/>
    <w:rsid w:val="006E04EB"/>
    <w:rsid w:val="006E1698"/>
    <w:rsid w:val="006E524D"/>
    <w:rsid w:val="006E6722"/>
    <w:rsid w:val="006E7FEF"/>
    <w:rsid w:val="006F0347"/>
    <w:rsid w:val="006F109C"/>
    <w:rsid w:val="006F118E"/>
    <w:rsid w:val="006F6A89"/>
    <w:rsid w:val="006F7FD7"/>
    <w:rsid w:val="00703879"/>
    <w:rsid w:val="00703AC5"/>
    <w:rsid w:val="00703BB3"/>
    <w:rsid w:val="007051D5"/>
    <w:rsid w:val="0070590B"/>
    <w:rsid w:val="00705D88"/>
    <w:rsid w:val="00710ACA"/>
    <w:rsid w:val="00710D40"/>
    <w:rsid w:val="0071557B"/>
    <w:rsid w:val="007222A2"/>
    <w:rsid w:val="00723A45"/>
    <w:rsid w:val="00724D7F"/>
    <w:rsid w:val="007259A4"/>
    <w:rsid w:val="0073149C"/>
    <w:rsid w:val="007320E0"/>
    <w:rsid w:val="00732FC8"/>
    <w:rsid w:val="00733C3D"/>
    <w:rsid w:val="00734055"/>
    <w:rsid w:val="0074079C"/>
    <w:rsid w:val="00740968"/>
    <w:rsid w:val="00743855"/>
    <w:rsid w:val="007438D9"/>
    <w:rsid w:val="00743FB2"/>
    <w:rsid w:val="00746B44"/>
    <w:rsid w:val="00747E74"/>
    <w:rsid w:val="0075622F"/>
    <w:rsid w:val="00756532"/>
    <w:rsid w:val="00756BFE"/>
    <w:rsid w:val="007573F7"/>
    <w:rsid w:val="0076136B"/>
    <w:rsid w:val="00763597"/>
    <w:rsid w:val="0076614D"/>
    <w:rsid w:val="007674D7"/>
    <w:rsid w:val="00771B90"/>
    <w:rsid w:val="00771CB6"/>
    <w:rsid w:val="00772B57"/>
    <w:rsid w:val="00774721"/>
    <w:rsid w:val="007772B3"/>
    <w:rsid w:val="007772D8"/>
    <w:rsid w:val="0077749C"/>
    <w:rsid w:val="00780957"/>
    <w:rsid w:val="00786397"/>
    <w:rsid w:val="007878E7"/>
    <w:rsid w:val="0079144C"/>
    <w:rsid w:val="007920CB"/>
    <w:rsid w:val="00792A56"/>
    <w:rsid w:val="0079652A"/>
    <w:rsid w:val="00796541"/>
    <w:rsid w:val="007A060F"/>
    <w:rsid w:val="007A0713"/>
    <w:rsid w:val="007A1A86"/>
    <w:rsid w:val="007A264A"/>
    <w:rsid w:val="007A609D"/>
    <w:rsid w:val="007A6A45"/>
    <w:rsid w:val="007B0DB2"/>
    <w:rsid w:val="007C2FF4"/>
    <w:rsid w:val="007C39F7"/>
    <w:rsid w:val="007C3F4A"/>
    <w:rsid w:val="007D2CFD"/>
    <w:rsid w:val="007D4424"/>
    <w:rsid w:val="007D44BC"/>
    <w:rsid w:val="007D5564"/>
    <w:rsid w:val="007D76AE"/>
    <w:rsid w:val="007E15B0"/>
    <w:rsid w:val="007E2E7D"/>
    <w:rsid w:val="007F00F8"/>
    <w:rsid w:val="007F285E"/>
    <w:rsid w:val="007F56E6"/>
    <w:rsid w:val="007F5A9A"/>
    <w:rsid w:val="007F5F36"/>
    <w:rsid w:val="00800585"/>
    <w:rsid w:val="00802179"/>
    <w:rsid w:val="00803049"/>
    <w:rsid w:val="0080571F"/>
    <w:rsid w:val="00805CDC"/>
    <w:rsid w:val="008072E8"/>
    <w:rsid w:val="00807547"/>
    <w:rsid w:val="00807B50"/>
    <w:rsid w:val="0081094D"/>
    <w:rsid w:val="00810C40"/>
    <w:rsid w:val="00811D8C"/>
    <w:rsid w:val="00812D06"/>
    <w:rsid w:val="00821D1F"/>
    <w:rsid w:val="008220F8"/>
    <w:rsid w:val="00823319"/>
    <w:rsid w:val="00827A67"/>
    <w:rsid w:val="00832B15"/>
    <w:rsid w:val="0083655D"/>
    <w:rsid w:val="0083723A"/>
    <w:rsid w:val="00840EF6"/>
    <w:rsid w:val="00841510"/>
    <w:rsid w:val="00841C2E"/>
    <w:rsid w:val="00843539"/>
    <w:rsid w:val="0084586E"/>
    <w:rsid w:val="008465B9"/>
    <w:rsid w:val="008466C5"/>
    <w:rsid w:val="00846E1F"/>
    <w:rsid w:val="00851A28"/>
    <w:rsid w:val="00854D3A"/>
    <w:rsid w:val="00854D97"/>
    <w:rsid w:val="00855753"/>
    <w:rsid w:val="00861687"/>
    <w:rsid w:val="00861B32"/>
    <w:rsid w:val="008620F6"/>
    <w:rsid w:val="00876CC6"/>
    <w:rsid w:val="00886C75"/>
    <w:rsid w:val="0088785B"/>
    <w:rsid w:val="008924A6"/>
    <w:rsid w:val="00892AB3"/>
    <w:rsid w:val="00895EF8"/>
    <w:rsid w:val="008A0CCB"/>
    <w:rsid w:val="008A20B8"/>
    <w:rsid w:val="008A636C"/>
    <w:rsid w:val="008B1E6B"/>
    <w:rsid w:val="008B6455"/>
    <w:rsid w:val="008C08B5"/>
    <w:rsid w:val="008C122E"/>
    <w:rsid w:val="008C33BA"/>
    <w:rsid w:val="008D0892"/>
    <w:rsid w:val="008D1CED"/>
    <w:rsid w:val="008D2F0F"/>
    <w:rsid w:val="008D5D55"/>
    <w:rsid w:val="008E0241"/>
    <w:rsid w:val="008E36B4"/>
    <w:rsid w:val="008E69DD"/>
    <w:rsid w:val="008F2889"/>
    <w:rsid w:val="00902F57"/>
    <w:rsid w:val="009036B3"/>
    <w:rsid w:val="00903D90"/>
    <w:rsid w:val="00904714"/>
    <w:rsid w:val="00906FD7"/>
    <w:rsid w:val="00912D08"/>
    <w:rsid w:val="0091421A"/>
    <w:rsid w:val="00915AF2"/>
    <w:rsid w:val="0091689F"/>
    <w:rsid w:val="009238F0"/>
    <w:rsid w:val="009259F9"/>
    <w:rsid w:val="009321B8"/>
    <w:rsid w:val="00936CD4"/>
    <w:rsid w:val="00940A4B"/>
    <w:rsid w:val="0094179C"/>
    <w:rsid w:val="009434C3"/>
    <w:rsid w:val="00947701"/>
    <w:rsid w:val="009524BA"/>
    <w:rsid w:val="009549AC"/>
    <w:rsid w:val="009567D4"/>
    <w:rsid w:val="00966E90"/>
    <w:rsid w:val="00973655"/>
    <w:rsid w:val="00975276"/>
    <w:rsid w:val="009808D9"/>
    <w:rsid w:val="0098217E"/>
    <w:rsid w:val="009824D3"/>
    <w:rsid w:val="00984D25"/>
    <w:rsid w:val="00990686"/>
    <w:rsid w:val="009933D7"/>
    <w:rsid w:val="009953D4"/>
    <w:rsid w:val="00995BB6"/>
    <w:rsid w:val="009A1100"/>
    <w:rsid w:val="009A129C"/>
    <w:rsid w:val="009A538A"/>
    <w:rsid w:val="009B03A3"/>
    <w:rsid w:val="009B2D29"/>
    <w:rsid w:val="009B2F42"/>
    <w:rsid w:val="009B4B5C"/>
    <w:rsid w:val="009B51C3"/>
    <w:rsid w:val="009C2F45"/>
    <w:rsid w:val="009C45B4"/>
    <w:rsid w:val="009C4F5B"/>
    <w:rsid w:val="009C5EFA"/>
    <w:rsid w:val="009D0369"/>
    <w:rsid w:val="009D5CFE"/>
    <w:rsid w:val="009D6BD0"/>
    <w:rsid w:val="009D6C52"/>
    <w:rsid w:val="009E0C72"/>
    <w:rsid w:val="009E3528"/>
    <w:rsid w:val="009E4421"/>
    <w:rsid w:val="009F1F65"/>
    <w:rsid w:val="009F35CC"/>
    <w:rsid w:val="009F5820"/>
    <w:rsid w:val="009F65A6"/>
    <w:rsid w:val="00A0245B"/>
    <w:rsid w:val="00A10DEB"/>
    <w:rsid w:val="00A1254E"/>
    <w:rsid w:val="00A1763D"/>
    <w:rsid w:val="00A178C2"/>
    <w:rsid w:val="00A2217D"/>
    <w:rsid w:val="00A3494E"/>
    <w:rsid w:val="00A3677D"/>
    <w:rsid w:val="00A43949"/>
    <w:rsid w:val="00A44DA3"/>
    <w:rsid w:val="00A477CF"/>
    <w:rsid w:val="00A53F40"/>
    <w:rsid w:val="00A54848"/>
    <w:rsid w:val="00A55FE5"/>
    <w:rsid w:val="00A565BD"/>
    <w:rsid w:val="00A630C1"/>
    <w:rsid w:val="00A641A3"/>
    <w:rsid w:val="00A659E9"/>
    <w:rsid w:val="00A67FFB"/>
    <w:rsid w:val="00A717E1"/>
    <w:rsid w:val="00A71DE4"/>
    <w:rsid w:val="00A73508"/>
    <w:rsid w:val="00A80751"/>
    <w:rsid w:val="00A823EE"/>
    <w:rsid w:val="00A83289"/>
    <w:rsid w:val="00A857FC"/>
    <w:rsid w:val="00A866F6"/>
    <w:rsid w:val="00A92BF0"/>
    <w:rsid w:val="00A92EE2"/>
    <w:rsid w:val="00A94A2E"/>
    <w:rsid w:val="00AA40BE"/>
    <w:rsid w:val="00AA51F7"/>
    <w:rsid w:val="00AA58CD"/>
    <w:rsid w:val="00AA6ECF"/>
    <w:rsid w:val="00AB002E"/>
    <w:rsid w:val="00AB0B33"/>
    <w:rsid w:val="00AB2AA3"/>
    <w:rsid w:val="00AB4C4F"/>
    <w:rsid w:val="00AB657E"/>
    <w:rsid w:val="00AB6FD6"/>
    <w:rsid w:val="00AC5B10"/>
    <w:rsid w:val="00AC6B74"/>
    <w:rsid w:val="00AD08F2"/>
    <w:rsid w:val="00AD0973"/>
    <w:rsid w:val="00AD22BF"/>
    <w:rsid w:val="00AD230C"/>
    <w:rsid w:val="00AD6074"/>
    <w:rsid w:val="00AD6C04"/>
    <w:rsid w:val="00AE1248"/>
    <w:rsid w:val="00AE6B99"/>
    <w:rsid w:val="00AE6D23"/>
    <w:rsid w:val="00AE7AED"/>
    <w:rsid w:val="00AF0266"/>
    <w:rsid w:val="00AF33AE"/>
    <w:rsid w:val="00AF6A6D"/>
    <w:rsid w:val="00B039BD"/>
    <w:rsid w:val="00B06D6F"/>
    <w:rsid w:val="00B07FB2"/>
    <w:rsid w:val="00B2068C"/>
    <w:rsid w:val="00B20712"/>
    <w:rsid w:val="00B27A09"/>
    <w:rsid w:val="00B27F74"/>
    <w:rsid w:val="00B373C6"/>
    <w:rsid w:val="00B41154"/>
    <w:rsid w:val="00B45295"/>
    <w:rsid w:val="00B46963"/>
    <w:rsid w:val="00B50C8D"/>
    <w:rsid w:val="00B51122"/>
    <w:rsid w:val="00B51310"/>
    <w:rsid w:val="00B51511"/>
    <w:rsid w:val="00B565C3"/>
    <w:rsid w:val="00B60957"/>
    <w:rsid w:val="00B60F1E"/>
    <w:rsid w:val="00B62ACE"/>
    <w:rsid w:val="00B632FB"/>
    <w:rsid w:val="00B634EC"/>
    <w:rsid w:val="00B63579"/>
    <w:rsid w:val="00B6395F"/>
    <w:rsid w:val="00B63A16"/>
    <w:rsid w:val="00B672F5"/>
    <w:rsid w:val="00B7038C"/>
    <w:rsid w:val="00B7229A"/>
    <w:rsid w:val="00B727FD"/>
    <w:rsid w:val="00B7462D"/>
    <w:rsid w:val="00B81CEB"/>
    <w:rsid w:val="00B8446F"/>
    <w:rsid w:val="00B8505A"/>
    <w:rsid w:val="00B857E5"/>
    <w:rsid w:val="00B86B20"/>
    <w:rsid w:val="00B9029A"/>
    <w:rsid w:val="00B95D4B"/>
    <w:rsid w:val="00BA05F6"/>
    <w:rsid w:val="00BA604E"/>
    <w:rsid w:val="00BB353E"/>
    <w:rsid w:val="00BB412D"/>
    <w:rsid w:val="00BC1C85"/>
    <w:rsid w:val="00BC2804"/>
    <w:rsid w:val="00BC2F75"/>
    <w:rsid w:val="00BC4141"/>
    <w:rsid w:val="00BC51A7"/>
    <w:rsid w:val="00BC72BD"/>
    <w:rsid w:val="00BD10E1"/>
    <w:rsid w:val="00BD2E51"/>
    <w:rsid w:val="00BD38CF"/>
    <w:rsid w:val="00BD3AF0"/>
    <w:rsid w:val="00BD5A3A"/>
    <w:rsid w:val="00BD6CD2"/>
    <w:rsid w:val="00BE3834"/>
    <w:rsid w:val="00BE4234"/>
    <w:rsid w:val="00C00CEF"/>
    <w:rsid w:val="00C05DE2"/>
    <w:rsid w:val="00C065E2"/>
    <w:rsid w:val="00C1637F"/>
    <w:rsid w:val="00C16F11"/>
    <w:rsid w:val="00C2159F"/>
    <w:rsid w:val="00C21ABB"/>
    <w:rsid w:val="00C2707B"/>
    <w:rsid w:val="00C27B51"/>
    <w:rsid w:val="00C364CA"/>
    <w:rsid w:val="00C3651C"/>
    <w:rsid w:val="00C36CF5"/>
    <w:rsid w:val="00C3706E"/>
    <w:rsid w:val="00C37B8F"/>
    <w:rsid w:val="00C40F07"/>
    <w:rsid w:val="00C40F5E"/>
    <w:rsid w:val="00C41284"/>
    <w:rsid w:val="00C412FD"/>
    <w:rsid w:val="00C43FF9"/>
    <w:rsid w:val="00C44177"/>
    <w:rsid w:val="00C50AC0"/>
    <w:rsid w:val="00C512E1"/>
    <w:rsid w:val="00C51980"/>
    <w:rsid w:val="00C51C52"/>
    <w:rsid w:val="00C54812"/>
    <w:rsid w:val="00C55197"/>
    <w:rsid w:val="00C65EF0"/>
    <w:rsid w:val="00C67BCD"/>
    <w:rsid w:val="00C67DE5"/>
    <w:rsid w:val="00C7025C"/>
    <w:rsid w:val="00C70C68"/>
    <w:rsid w:val="00C73926"/>
    <w:rsid w:val="00C773F7"/>
    <w:rsid w:val="00C778A1"/>
    <w:rsid w:val="00C77C73"/>
    <w:rsid w:val="00C824B6"/>
    <w:rsid w:val="00C82D21"/>
    <w:rsid w:val="00C82EA1"/>
    <w:rsid w:val="00C82ED6"/>
    <w:rsid w:val="00C84578"/>
    <w:rsid w:val="00C95B59"/>
    <w:rsid w:val="00C96639"/>
    <w:rsid w:val="00C979D5"/>
    <w:rsid w:val="00CA16B6"/>
    <w:rsid w:val="00CA63A3"/>
    <w:rsid w:val="00CA6721"/>
    <w:rsid w:val="00CA69F9"/>
    <w:rsid w:val="00CA6DAC"/>
    <w:rsid w:val="00CB68C2"/>
    <w:rsid w:val="00CB7029"/>
    <w:rsid w:val="00CC0CF0"/>
    <w:rsid w:val="00CC35AD"/>
    <w:rsid w:val="00CC4C7B"/>
    <w:rsid w:val="00CC664F"/>
    <w:rsid w:val="00CD271A"/>
    <w:rsid w:val="00CD2E96"/>
    <w:rsid w:val="00CD4DBE"/>
    <w:rsid w:val="00CD730E"/>
    <w:rsid w:val="00CE1D80"/>
    <w:rsid w:val="00CE5293"/>
    <w:rsid w:val="00CE5C48"/>
    <w:rsid w:val="00CE672B"/>
    <w:rsid w:val="00CF080B"/>
    <w:rsid w:val="00CF2531"/>
    <w:rsid w:val="00CF3AF9"/>
    <w:rsid w:val="00D014B9"/>
    <w:rsid w:val="00D01C60"/>
    <w:rsid w:val="00D03999"/>
    <w:rsid w:val="00D044A4"/>
    <w:rsid w:val="00D05382"/>
    <w:rsid w:val="00D06F82"/>
    <w:rsid w:val="00D105BF"/>
    <w:rsid w:val="00D10B74"/>
    <w:rsid w:val="00D121C6"/>
    <w:rsid w:val="00D13C2F"/>
    <w:rsid w:val="00D16465"/>
    <w:rsid w:val="00D2109A"/>
    <w:rsid w:val="00D2189B"/>
    <w:rsid w:val="00D24B7A"/>
    <w:rsid w:val="00D25624"/>
    <w:rsid w:val="00D31CBB"/>
    <w:rsid w:val="00D34EE8"/>
    <w:rsid w:val="00D378B1"/>
    <w:rsid w:val="00D43A3A"/>
    <w:rsid w:val="00D468AE"/>
    <w:rsid w:val="00D47397"/>
    <w:rsid w:val="00D51273"/>
    <w:rsid w:val="00D513D6"/>
    <w:rsid w:val="00D527AC"/>
    <w:rsid w:val="00D56BC3"/>
    <w:rsid w:val="00D576B9"/>
    <w:rsid w:val="00D62D9E"/>
    <w:rsid w:val="00D66B16"/>
    <w:rsid w:val="00D71559"/>
    <w:rsid w:val="00D7277B"/>
    <w:rsid w:val="00D76002"/>
    <w:rsid w:val="00D76AFD"/>
    <w:rsid w:val="00D76EB2"/>
    <w:rsid w:val="00D770AF"/>
    <w:rsid w:val="00D77669"/>
    <w:rsid w:val="00D8422A"/>
    <w:rsid w:val="00D85F24"/>
    <w:rsid w:val="00D876F9"/>
    <w:rsid w:val="00D878D0"/>
    <w:rsid w:val="00D90476"/>
    <w:rsid w:val="00D9269A"/>
    <w:rsid w:val="00D926E3"/>
    <w:rsid w:val="00D9495D"/>
    <w:rsid w:val="00D96D0D"/>
    <w:rsid w:val="00D974B9"/>
    <w:rsid w:val="00DA1528"/>
    <w:rsid w:val="00DA1B36"/>
    <w:rsid w:val="00DA345C"/>
    <w:rsid w:val="00DA36AB"/>
    <w:rsid w:val="00DA445E"/>
    <w:rsid w:val="00DA6530"/>
    <w:rsid w:val="00DA7189"/>
    <w:rsid w:val="00DB06FC"/>
    <w:rsid w:val="00DB0DE7"/>
    <w:rsid w:val="00DB3181"/>
    <w:rsid w:val="00DB32A4"/>
    <w:rsid w:val="00DB3A79"/>
    <w:rsid w:val="00DB3B75"/>
    <w:rsid w:val="00DB5B61"/>
    <w:rsid w:val="00DC2303"/>
    <w:rsid w:val="00DC60E5"/>
    <w:rsid w:val="00DC657F"/>
    <w:rsid w:val="00DC7851"/>
    <w:rsid w:val="00DC7CF4"/>
    <w:rsid w:val="00DD0054"/>
    <w:rsid w:val="00DD38B5"/>
    <w:rsid w:val="00DE23B5"/>
    <w:rsid w:val="00DE48BF"/>
    <w:rsid w:val="00DE6C1F"/>
    <w:rsid w:val="00DE74E7"/>
    <w:rsid w:val="00DF375B"/>
    <w:rsid w:val="00DF4CF8"/>
    <w:rsid w:val="00E002E7"/>
    <w:rsid w:val="00E0381A"/>
    <w:rsid w:val="00E04A66"/>
    <w:rsid w:val="00E1220D"/>
    <w:rsid w:val="00E2291D"/>
    <w:rsid w:val="00E22950"/>
    <w:rsid w:val="00E266FE"/>
    <w:rsid w:val="00E30665"/>
    <w:rsid w:val="00E309FD"/>
    <w:rsid w:val="00E3163C"/>
    <w:rsid w:val="00E31B76"/>
    <w:rsid w:val="00E36090"/>
    <w:rsid w:val="00E37688"/>
    <w:rsid w:val="00E37A4A"/>
    <w:rsid w:val="00E40745"/>
    <w:rsid w:val="00E42F8C"/>
    <w:rsid w:val="00E50B33"/>
    <w:rsid w:val="00E53762"/>
    <w:rsid w:val="00E53D2F"/>
    <w:rsid w:val="00E55BC0"/>
    <w:rsid w:val="00E55E99"/>
    <w:rsid w:val="00E562E4"/>
    <w:rsid w:val="00E56330"/>
    <w:rsid w:val="00E61683"/>
    <w:rsid w:val="00E6187D"/>
    <w:rsid w:val="00E63146"/>
    <w:rsid w:val="00E63A50"/>
    <w:rsid w:val="00E65141"/>
    <w:rsid w:val="00E6549B"/>
    <w:rsid w:val="00E67D7A"/>
    <w:rsid w:val="00E7028E"/>
    <w:rsid w:val="00E7038F"/>
    <w:rsid w:val="00E70493"/>
    <w:rsid w:val="00E70B32"/>
    <w:rsid w:val="00E74187"/>
    <w:rsid w:val="00E774C2"/>
    <w:rsid w:val="00E77544"/>
    <w:rsid w:val="00E80721"/>
    <w:rsid w:val="00E818D8"/>
    <w:rsid w:val="00E81DF6"/>
    <w:rsid w:val="00E83715"/>
    <w:rsid w:val="00E9025F"/>
    <w:rsid w:val="00E91F5C"/>
    <w:rsid w:val="00E929F4"/>
    <w:rsid w:val="00E92DC6"/>
    <w:rsid w:val="00E941CE"/>
    <w:rsid w:val="00E95045"/>
    <w:rsid w:val="00E9630C"/>
    <w:rsid w:val="00EA121B"/>
    <w:rsid w:val="00EA2AD9"/>
    <w:rsid w:val="00EA5DD4"/>
    <w:rsid w:val="00EA6E0F"/>
    <w:rsid w:val="00EA729B"/>
    <w:rsid w:val="00EB1169"/>
    <w:rsid w:val="00EB13ED"/>
    <w:rsid w:val="00EB1A31"/>
    <w:rsid w:val="00EB55B8"/>
    <w:rsid w:val="00EB60DF"/>
    <w:rsid w:val="00EB61A7"/>
    <w:rsid w:val="00EB6B9D"/>
    <w:rsid w:val="00EB7EF0"/>
    <w:rsid w:val="00EC0E5C"/>
    <w:rsid w:val="00EC7155"/>
    <w:rsid w:val="00EC7567"/>
    <w:rsid w:val="00ED13A9"/>
    <w:rsid w:val="00ED42EF"/>
    <w:rsid w:val="00ED6124"/>
    <w:rsid w:val="00ED6CCB"/>
    <w:rsid w:val="00ED7016"/>
    <w:rsid w:val="00EE1423"/>
    <w:rsid w:val="00EE1451"/>
    <w:rsid w:val="00EE30CD"/>
    <w:rsid w:val="00EE3876"/>
    <w:rsid w:val="00EE5B31"/>
    <w:rsid w:val="00EF0371"/>
    <w:rsid w:val="00EF1E6B"/>
    <w:rsid w:val="00EF76AF"/>
    <w:rsid w:val="00F013C6"/>
    <w:rsid w:val="00F04288"/>
    <w:rsid w:val="00F0754C"/>
    <w:rsid w:val="00F075F6"/>
    <w:rsid w:val="00F0781E"/>
    <w:rsid w:val="00F1260F"/>
    <w:rsid w:val="00F129CB"/>
    <w:rsid w:val="00F13D36"/>
    <w:rsid w:val="00F159DE"/>
    <w:rsid w:val="00F16905"/>
    <w:rsid w:val="00F17307"/>
    <w:rsid w:val="00F17F23"/>
    <w:rsid w:val="00F219D3"/>
    <w:rsid w:val="00F22EEA"/>
    <w:rsid w:val="00F23FFD"/>
    <w:rsid w:val="00F24F1F"/>
    <w:rsid w:val="00F27466"/>
    <w:rsid w:val="00F4332E"/>
    <w:rsid w:val="00F43CA4"/>
    <w:rsid w:val="00F44CF3"/>
    <w:rsid w:val="00F453BB"/>
    <w:rsid w:val="00F4792E"/>
    <w:rsid w:val="00F52B08"/>
    <w:rsid w:val="00F551D9"/>
    <w:rsid w:val="00F57978"/>
    <w:rsid w:val="00F619A9"/>
    <w:rsid w:val="00F62FDC"/>
    <w:rsid w:val="00F66649"/>
    <w:rsid w:val="00F66BC8"/>
    <w:rsid w:val="00F71473"/>
    <w:rsid w:val="00F7218F"/>
    <w:rsid w:val="00F74FAF"/>
    <w:rsid w:val="00F75C4C"/>
    <w:rsid w:val="00F85E79"/>
    <w:rsid w:val="00F87E1E"/>
    <w:rsid w:val="00F93F61"/>
    <w:rsid w:val="00F95597"/>
    <w:rsid w:val="00F95F27"/>
    <w:rsid w:val="00FA19B8"/>
    <w:rsid w:val="00FA2F6F"/>
    <w:rsid w:val="00FA7BBC"/>
    <w:rsid w:val="00FA7C08"/>
    <w:rsid w:val="00FB1D7F"/>
    <w:rsid w:val="00FB49DF"/>
    <w:rsid w:val="00FB5955"/>
    <w:rsid w:val="00FB6777"/>
    <w:rsid w:val="00FB7A5A"/>
    <w:rsid w:val="00FC39FF"/>
    <w:rsid w:val="00FC43F2"/>
    <w:rsid w:val="00FC4E4C"/>
    <w:rsid w:val="00FC5A45"/>
    <w:rsid w:val="00FC61B0"/>
    <w:rsid w:val="00FD2C8E"/>
    <w:rsid w:val="00FD4CE5"/>
    <w:rsid w:val="00FD58DC"/>
    <w:rsid w:val="00FE332C"/>
    <w:rsid w:val="00FE3591"/>
    <w:rsid w:val="00FE41B9"/>
    <w:rsid w:val="00FE553F"/>
    <w:rsid w:val="00FE6DDE"/>
    <w:rsid w:val="00FF07CD"/>
    <w:rsid w:val="00FF3EC3"/>
    <w:rsid w:val="00FF6C38"/>
    <w:rsid w:val="29525B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571791"/>
  <w15:docId w15:val="{BDF19F2B-0EF6-4ACD-9904-9963E396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0E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56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E7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B3895"/>
    <w:pPr>
      <w:ind w:left="720"/>
      <w:contextualSpacing/>
    </w:pPr>
  </w:style>
  <w:style w:type="paragraph" w:styleId="Header">
    <w:name w:val="header"/>
    <w:basedOn w:val="Normal"/>
    <w:link w:val="HeaderChar"/>
    <w:uiPriority w:val="99"/>
    <w:unhideWhenUsed/>
    <w:rsid w:val="00145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60F"/>
  </w:style>
  <w:style w:type="paragraph" w:styleId="Footer">
    <w:name w:val="footer"/>
    <w:basedOn w:val="Normal"/>
    <w:link w:val="FooterChar"/>
    <w:uiPriority w:val="99"/>
    <w:unhideWhenUsed/>
    <w:rsid w:val="00145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60F"/>
  </w:style>
  <w:style w:type="character" w:customStyle="1" w:styleId="Heading2Char">
    <w:name w:val="Heading 2 Char"/>
    <w:basedOn w:val="DefaultParagraphFont"/>
    <w:link w:val="Heading2"/>
    <w:uiPriority w:val="9"/>
    <w:rsid w:val="0014560F"/>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14560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560F"/>
    <w:rPr>
      <w:b/>
      <w:bCs/>
      <w:i/>
      <w:iCs/>
      <w:color w:val="4F81BD" w:themeColor="accent1"/>
    </w:rPr>
  </w:style>
  <w:style w:type="character" w:styleId="CommentReference">
    <w:name w:val="annotation reference"/>
    <w:basedOn w:val="DefaultParagraphFont"/>
    <w:uiPriority w:val="99"/>
    <w:semiHidden/>
    <w:unhideWhenUsed/>
    <w:rsid w:val="00F4332E"/>
    <w:rPr>
      <w:sz w:val="16"/>
      <w:szCs w:val="16"/>
    </w:rPr>
  </w:style>
  <w:style w:type="paragraph" w:styleId="CommentText">
    <w:name w:val="annotation text"/>
    <w:basedOn w:val="Normal"/>
    <w:link w:val="CommentTextChar"/>
    <w:uiPriority w:val="99"/>
    <w:semiHidden/>
    <w:unhideWhenUsed/>
    <w:rsid w:val="00F4332E"/>
    <w:pPr>
      <w:spacing w:line="240" w:lineRule="auto"/>
    </w:pPr>
    <w:rPr>
      <w:sz w:val="20"/>
      <w:szCs w:val="20"/>
    </w:rPr>
  </w:style>
  <w:style w:type="character" w:customStyle="1" w:styleId="CommentTextChar">
    <w:name w:val="Comment Text Char"/>
    <w:basedOn w:val="DefaultParagraphFont"/>
    <w:link w:val="CommentText"/>
    <w:uiPriority w:val="99"/>
    <w:semiHidden/>
    <w:rsid w:val="00F4332E"/>
    <w:rPr>
      <w:sz w:val="20"/>
      <w:szCs w:val="20"/>
    </w:rPr>
  </w:style>
  <w:style w:type="paragraph" w:styleId="CommentSubject">
    <w:name w:val="annotation subject"/>
    <w:basedOn w:val="CommentText"/>
    <w:next w:val="CommentText"/>
    <w:link w:val="CommentSubjectChar"/>
    <w:uiPriority w:val="99"/>
    <w:semiHidden/>
    <w:unhideWhenUsed/>
    <w:rsid w:val="00F4332E"/>
    <w:rPr>
      <w:b/>
      <w:bCs/>
    </w:rPr>
  </w:style>
  <w:style w:type="character" w:customStyle="1" w:styleId="CommentSubjectChar">
    <w:name w:val="Comment Subject Char"/>
    <w:basedOn w:val="CommentTextChar"/>
    <w:link w:val="CommentSubject"/>
    <w:uiPriority w:val="99"/>
    <w:semiHidden/>
    <w:rsid w:val="00F4332E"/>
    <w:rPr>
      <w:b/>
      <w:bCs/>
      <w:sz w:val="20"/>
      <w:szCs w:val="20"/>
    </w:rPr>
  </w:style>
  <w:style w:type="paragraph" w:styleId="BalloonText">
    <w:name w:val="Balloon Text"/>
    <w:basedOn w:val="Normal"/>
    <w:link w:val="BalloonTextChar"/>
    <w:uiPriority w:val="99"/>
    <w:semiHidden/>
    <w:unhideWhenUsed/>
    <w:rsid w:val="00F43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32E"/>
    <w:rPr>
      <w:rFonts w:ascii="Tahoma" w:hAnsi="Tahoma" w:cs="Tahoma"/>
      <w:sz w:val="16"/>
      <w:szCs w:val="16"/>
    </w:rPr>
  </w:style>
  <w:style w:type="table" w:styleId="TableGrid">
    <w:name w:val="Table Grid"/>
    <w:basedOn w:val="TableNormal"/>
    <w:uiPriority w:val="59"/>
    <w:rsid w:val="00413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0F07"/>
    <w:rPr>
      <w:color w:val="0000FF" w:themeColor="hyperlink"/>
      <w:u w:val="single"/>
    </w:rPr>
  </w:style>
  <w:style w:type="paragraph" w:styleId="NoSpacing">
    <w:name w:val="No Spacing"/>
    <w:uiPriority w:val="1"/>
    <w:qFormat/>
    <w:rsid w:val="00D76EB2"/>
    <w:pPr>
      <w:spacing w:after="0" w:line="240" w:lineRule="auto"/>
    </w:pPr>
  </w:style>
  <w:style w:type="paragraph" w:styleId="Revision">
    <w:name w:val="Revision"/>
    <w:hidden/>
    <w:uiPriority w:val="99"/>
    <w:semiHidden/>
    <w:rsid w:val="00EB6B9D"/>
    <w:pPr>
      <w:spacing w:after="0" w:line="240" w:lineRule="auto"/>
    </w:pPr>
  </w:style>
  <w:style w:type="paragraph" w:styleId="NormalWeb">
    <w:name w:val="Normal (Web)"/>
    <w:basedOn w:val="Normal"/>
    <w:uiPriority w:val="99"/>
    <w:unhideWhenUsed/>
    <w:rsid w:val="00250C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50C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947862">
      <w:bodyDiv w:val="1"/>
      <w:marLeft w:val="0"/>
      <w:marRight w:val="0"/>
      <w:marTop w:val="0"/>
      <w:marBottom w:val="0"/>
      <w:divBdr>
        <w:top w:val="none" w:sz="0" w:space="0" w:color="auto"/>
        <w:left w:val="none" w:sz="0" w:space="0" w:color="auto"/>
        <w:bottom w:val="none" w:sz="0" w:space="0" w:color="auto"/>
        <w:right w:val="none" w:sz="0" w:space="0" w:color="auto"/>
      </w:divBdr>
    </w:div>
    <w:div w:id="979772736">
      <w:bodyDiv w:val="1"/>
      <w:marLeft w:val="0"/>
      <w:marRight w:val="0"/>
      <w:marTop w:val="0"/>
      <w:marBottom w:val="0"/>
      <w:divBdr>
        <w:top w:val="none" w:sz="0" w:space="0" w:color="auto"/>
        <w:left w:val="none" w:sz="0" w:space="0" w:color="auto"/>
        <w:bottom w:val="none" w:sz="0" w:space="0" w:color="auto"/>
        <w:right w:val="none" w:sz="0" w:space="0" w:color="auto"/>
      </w:divBdr>
    </w:div>
    <w:div w:id="1274168375">
      <w:bodyDiv w:val="1"/>
      <w:marLeft w:val="0"/>
      <w:marRight w:val="0"/>
      <w:marTop w:val="0"/>
      <w:marBottom w:val="0"/>
      <w:divBdr>
        <w:top w:val="none" w:sz="0" w:space="0" w:color="auto"/>
        <w:left w:val="none" w:sz="0" w:space="0" w:color="auto"/>
        <w:bottom w:val="none" w:sz="0" w:space="0" w:color="auto"/>
        <w:right w:val="none" w:sz="0" w:space="0" w:color="auto"/>
      </w:divBdr>
    </w:div>
    <w:div w:id="1376080001">
      <w:bodyDiv w:val="1"/>
      <w:marLeft w:val="0"/>
      <w:marRight w:val="0"/>
      <w:marTop w:val="0"/>
      <w:marBottom w:val="0"/>
      <w:divBdr>
        <w:top w:val="none" w:sz="0" w:space="0" w:color="auto"/>
        <w:left w:val="none" w:sz="0" w:space="0" w:color="auto"/>
        <w:bottom w:val="none" w:sz="0" w:space="0" w:color="auto"/>
        <w:right w:val="none" w:sz="0" w:space="0" w:color="auto"/>
      </w:divBdr>
    </w:div>
    <w:div w:id="1487477602">
      <w:bodyDiv w:val="1"/>
      <w:marLeft w:val="0"/>
      <w:marRight w:val="0"/>
      <w:marTop w:val="0"/>
      <w:marBottom w:val="0"/>
      <w:divBdr>
        <w:top w:val="none" w:sz="0" w:space="0" w:color="auto"/>
        <w:left w:val="none" w:sz="0" w:space="0" w:color="auto"/>
        <w:bottom w:val="none" w:sz="0" w:space="0" w:color="auto"/>
        <w:right w:val="none" w:sz="0" w:space="0" w:color="auto"/>
      </w:divBdr>
    </w:div>
    <w:div w:id="1622222480">
      <w:bodyDiv w:val="1"/>
      <w:marLeft w:val="0"/>
      <w:marRight w:val="0"/>
      <w:marTop w:val="0"/>
      <w:marBottom w:val="0"/>
      <w:divBdr>
        <w:top w:val="none" w:sz="0" w:space="0" w:color="auto"/>
        <w:left w:val="none" w:sz="0" w:space="0" w:color="auto"/>
        <w:bottom w:val="none" w:sz="0" w:space="0" w:color="auto"/>
        <w:right w:val="none" w:sz="0" w:space="0" w:color="auto"/>
      </w:divBdr>
      <w:divsChild>
        <w:div w:id="1757288435">
          <w:marLeft w:val="0"/>
          <w:marRight w:val="0"/>
          <w:marTop w:val="0"/>
          <w:marBottom w:val="0"/>
          <w:divBdr>
            <w:top w:val="none" w:sz="0" w:space="0" w:color="auto"/>
            <w:left w:val="none" w:sz="0" w:space="0" w:color="auto"/>
            <w:bottom w:val="none" w:sz="0" w:space="0" w:color="auto"/>
            <w:right w:val="none" w:sz="0" w:space="0" w:color="auto"/>
          </w:divBdr>
        </w:div>
        <w:div w:id="1096246817">
          <w:marLeft w:val="0"/>
          <w:marRight w:val="0"/>
          <w:marTop w:val="0"/>
          <w:marBottom w:val="0"/>
          <w:divBdr>
            <w:top w:val="none" w:sz="0" w:space="0" w:color="auto"/>
            <w:left w:val="none" w:sz="0" w:space="0" w:color="auto"/>
            <w:bottom w:val="none" w:sz="0" w:space="0" w:color="auto"/>
            <w:right w:val="none" w:sz="0" w:space="0" w:color="auto"/>
          </w:divBdr>
        </w:div>
        <w:div w:id="400717353">
          <w:marLeft w:val="0"/>
          <w:marRight w:val="0"/>
          <w:marTop w:val="0"/>
          <w:marBottom w:val="0"/>
          <w:divBdr>
            <w:top w:val="none" w:sz="0" w:space="0" w:color="auto"/>
            <w:left w:val="none" w:sz="0" w:space="0" w:color="auto"/>
            <w:bottom w:val="none" w:sz="0" w:space="0" w:color="auto"/>
            <w:right w:val="none" w:sz="0" w:space="0" w:color="auto"/>
          </w:divBdr>
        </w:div>
        <w:div w:id="542326278">
          <w:marLeft w:val="0"/>
          <w:marRight w:val="0"/>
          <w:marTop w:val="0"/>
          <w:marBottom w:val="0"/>
          <w:divBdr>
            <w:top w:val="none" w:sz="0" w:space="0" w:color="auto"/>
            <w:left w:val="none" w:sz="0" w:space="0" w:color="auto"/>
            <w:bottom w:val="none" w:sz="0" w:space="0" w:color="auto"/>
            <w:right w:val="none" w:sz="0" w:space="0" w:color="auto"/>
          </w:divBdr>
        </w:div>
        <w:div w:id="2114663511">
          <w:marLeft w:val="0"/>
          <w:marRight w:val="0"/>
          <w:marTop w:val="0"/>
          <w:marBottom w:val="0"/>
          <w:divBdr>
            <w:top w:val="none" w:sz="0" w:space="0" w:color="auto"/>
            <w:left w:val="none" w:sz="0" w:space="0" w:color="auto"/>
            <w:bottom w:val="none" w:sz="0" w:space="0" w:color="auto"/>
            <w:right w:val="none" w:sz="0" w:space="0" w:color="auto"/>
          </w:divBdr>
        </w:div>
        <w:div w:id="2126003345">
          <w:marLeft w:val="0"/>
          <w:marRight w:val="0"/>
          <w:marTop w:val="0"/>
          <w:marBottom w:val="0"/>
          <w:divBdr>
            <w:top w:val="none" w:sz="0" w:space="0" w:color="auto"/>
            <w:left w:val="none" w:sz="0" w:space="0" w:color="auto"/>
            <w:bottom w:val="none" w:sz="0" w:space="0" w:color="auto"/>
            <w:right w:val="none" w:sz="0" w:space="0" w:color="auto"/>
          </w:divBdr>
        </w:div>
        <w:div w:id="260382339">
          <w:marLeft w:val="0"/>
          <w:marRight w:val="0"/>
          <w:marTop w:val="0"/>
          <w:marBottom w:val="0"/>
          <w:divBdr>
            <w:top w:val="none" w:sz="0" w:space="0" w:color="auto"/>
            <w:left w:val="none" w:sz="0" w:space="0" w:color="auto"/>
            <w:bottom w:val="none" w:sz="0" w:space="0" w:color="auto"/>
            <w:right w:val="none" w:sz="0" w:space="0" w:color="auto"/>
          </w:divBdr>
        </w:div>
        <w:div w:id="543098747">
          <w:marLeft w:val="0"/>
          <w:marRight w:val="0"/>
          <w:marTop w:val="0"/>
          <w:marBottom w:val="0"/>
          <w:divBdr>
            <w:top w:val="none" w:sz="0" w:space="0" w:color="auto"/>
            <w:left w:val="none" w:sz="0" w:space="0" w:color="auto"/>
            <w:bottom w:val="none" w:sz="0" w:space="0" w:color="auto"/>
            <w:right w:val="none" w:sz="0" w:space="0" w:color="auto"/>
          </w:divBdr>
        </w:div>
        <w:div w:id="2141339310">
          <w:marLeft w:val="0"/>
          <w:marRight w:val="0"/>
          <w:marTop w:val="0"/>
          <w:marBottom w:val="0"/>
          <w:divBdr>
            <w:top w:val="none" w:sz="0" w:space="0" w:color="auto"/>
            <w:left w:val="none" w:sz="0" w:space="0" w:color="auto"/>
            <w:bottom w:val="none" w:sz="0" w:space="0" w:color="auto"/>
            <w:right w:val="none" w:sz="0" w:space="0" w:color="auto"/>
          </w:divBdr>
        </w:div>
        <w:div w:id="1095634180">
          <w:marLeft w:val="0"/>
          <w:marRight w:val="0"/>
          <w:marTop w:val="0"/>
          <w:marBottom w:val="0"/>
          <w:divBdr>
            <w:top w:val="none" w:sz="0" w:space="0" w:color="auto"/>
            <w:left w:val="none" w:sz="0" w:space="0" w:color="auto"/>
            <w:bottom w:val="none" w:sz="0" w:space="0" w:color="auto"/>
            <w:right w:val="none" w:sz="0" w:space="0" w:color="auto"/>
          </w:divBdr>
        </w:div>
        <w:div w:id="1751200187">
          <w:marLeft w:val="0"/>
          <w:marRight w:val="0"/>
          <w:marTop w:val="0"/>
          <w:marBottom w:val="0"/>
          <w:divBdr>
            <w:top w:val="none" w:sz="0" w:space="0" w:color="auto"/>
            <w:left w:val="none" w:sz="0" w:space="0" w:color="auto"/>
            <w:bottom w:val="none" w:sz="0" w:space="0" w:color="auto"/>
            <w:right w:val="none" w:sz="0" w:space="0" w:color="auto"/>
          </w:divBdr>
        </w:div>
        <w:div w:id="1680738779">
          <w:marLeft w:val="0"/>
          <w:marRight w:val="0"/>
          <w:marTop w:val="0"/>
          <w:marBottom w:val="0"/>
          <w:divBdr>
            <w:top w:val="none" w:sz="0" w:space="0" w:color="auto"/>
            <w:left w:val="none" w:sz="0" w:space="0" w:color="auto"/>
            <w:bottom w:val="none" w:sz="0" w:space="0" w:color="auto"/>
            <w:right w:val="none" w:sz="0" w:space="0" w:color="auto"/>
          </w:divBdr>
        </w:div>
        <w:div w:id="785545842">
          <w:marLeft w:val="0"/>
          <w:marRight w:val="0"/>
          <w:marTop w:val="0"/>
          <w:marBottom w:val="0"/>
          <w:divBdr>
            <w:top w:val="none" w:sz="0" w:space="0" w:color="auto"/>
            <w:left w:val="none" w:sz="0" w:space="0" w:color="auto"/>
            <w:bottom w:val="none" w:sz="0" w:space="0" w:color="auto"/>
            <w:right w:val="none" w:sz="0" w:space="0" w:color="auto"/>
          </w:divBdr>
        </w:div>
        <w:div w:id="50471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325080-840b-4dc8-b8ab-d60714d56b57">
      <Terms xmlns="http://schemas.microsoft.com/office/infopath/2007/PartnerControls"/>
    </lcf76f155ced4ddcb4097134ff3c332f>
    <TaxCatchAll xmlns="b588b930-5b30-4097-91f9-37623a96ef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4786E6925E644C82E31831AEA50057" ma:contentTypeVersion="18" ma:contentTypeDescription="Create a new document." ma:contentTypeScope="" ma:versionID="626199c5dc4f4f1e39059eca9e5b8f1b">
  <xsd:schema xmlns:xsd="http://www.w3.org/2001/XMLSchema" xmlns:xs="http://www.w3.org/2001/XMLSchema" xmlns:p="http://schemas.microsoft.com/office/2006/metadata/properties" xmlns:ns2="3d325080-840b-4dc8-b8ab-d60714d56b57" xmlns:ns3="b588b930-5b30-4097-91f9-37623a96efd5" targetNamespace="http://schemas.microsoft.com/office/2006/metadata/properties" ma:root="true" ma:fieldsID="c9e0b1153ad72cbd4d892df082c7407d" ns2:_="" ns3:_="">
    <xsd:import namespace="3d325080-840b-4dc8-b8ab-d60714d56b57"/>
    <xsd:import namespace="b588b930-5b30-4097-91f9-37623a96ef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25080-840b-4dc8-b8ab-d60714d56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3ce402-834e-41eb-87d0-d5ace8e4c4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88b930-5b30-4097-91f9-37623a96ef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0a154-9e51-4e69-9ba1-5ddd729039fc}" ma:internalName="TaxCatchAll" ma:showField="CatchAllData" ma:web="b588b930-5b30-4097-91f9-37623a96e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71D83-1CAF-4FC8-A683-A8B9DB101C26}">
  <ds:schemaRefs>
    <ds:schemaRef ds:uri="http://www.w3.org/XML/1998/namespace"/>
    <ds:schemaRef ds:uri="http://schemas.openxmlformats.org/package/2006/metadata/core-properties"/>
    <ds:schemaRef ds:uri="http://purl.org/dc/terms/"/>
    <ds:schemaRef ds:uri="93b046d5-d698-4cb1-9e66-0e7eed094dbe"/>
    <ds:schemaRef ds:uri="http://schemas.microsoft.com/office/2006/documentManagement/types"/>
    <ds:schemaRef ds:uri="http://schemas.microsoft.com/office/infopath/2007/PartnerControls"/>
    <ds:schemaRef ds:uri="http://purl.org/dc/elements/1.1/"/>
    <ds:schemaRef ds:uri="01e13b65-8a71-4bdb-9cfe-b062afafd73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DAFF60A-2777-4F51-8299-0B009DDAEEAA}">
  <ds:schemaRefs>
    <ds:schemaRef ds:uri="http://schemas.microsoft.com/sharepoint/v3/contenttype/forms"/>
  </ds:schemaRefs>
</ds:datastoreItem>
</file>

<file path=customXml/itemProps3.xml><?xml version="1.0" encoding="utf-8"?>
<ds:datastoreItem xmlns:ds="http://schemas.openxmlformats.org/officeDocument/2006/customXml" ds:itemID="{DADA5D17-FF97-4B67-ACC2-A586B48D848E}"/>
</file>

<file path=customXml/itemProps4.xml><?xml version="1.0" encoding="utf-8"?>
<ds:datastoreItem xmlns:ds="http://schemas.openxmlformats.org/officeDocument/2006/customXml" ds:itemID="{C8D2DDB2-9D34-4B61-AB5B-1F5D4EAAA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Atilla KARAMAN</dc:creator>
  <cp:lastModifiedBy>Saleh Younous Abbas</cp:lastModifiedBy>
  <cp:revision>5</cp:revision>
  <cp:lastPrinted>2025-10-02T10:23:00Z</cp:lastPrinted>
  <dcterms:created xsi:type="dcterms:W3CDTF">2025-10-02T13:57:00Z</dcterms:created>
  <dcterms:modified xsi:type="dcterms:W3CDTF">2025-10-02T14:10:00Z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0x010100154786E6925E644C82E31831AEA50057</vt:lpwstr>
  </property>
  <property fmtid="{D5CDD505-2E9C-101B-9397-08002B2CF9AE}" pid="3" name="Order">
    <vt:r8>11554000</vt:r8>
  </property>
  <property fmtid="{D5CDD505-2E9C-101B-9397-08002B2CF9AE}" pid="4" name="MediaServiceImageTags">
    <vt:lpwstr/>
  </property>
  <property fmtid="{D5CDD505-2E9C-101B-9397-08002B2CF9AE}" pid="5" name="GrammarlyDocumentId">
    <vt:lpwstr>beb634e7-f0a3-48bd-bdc6-392442c215d9</vt:lpwstr>
  </property>
</Properties>
</file>